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Adaptive Machine Learning Defenses for Quantum Key Distribution: Empirical Evidence from a Physics-Constrained Co-Evolutionary Adversarial Gym</w:t>
      </w:r>
    </w:p>
    <w:p>
      <w:pPr>
        <w:jc w:val="center"/>
      </w:pPr>
      <w:r>
        <w:rPr>
          <w:i/>
          <w:sz w:val="22"/>
        </w:rPr>
        <w:t>John Jepsen</w:t>
      </w:r>
    </w:p>
    <w:p>
      <w:pPr>
        <w:jc w:val="center"/>
      </w:pPr>
      <w:r>
        <w:rPr>
          <w:i/>
          <w:sz w:val="20"/>
        </w:rPr>
        <w:t>MSCS Capstone — Avantheir QKD Integration Initiative</w:t>
      </w:r>
    </w:p>
    <w:p/>
    <w:p>
      <w:pPr>
        <w:jc w:val="center"/>
      </w:pPr>
      <w:r>
        <w:rPr>
          <w:b/>
          <w:sz w:val="24"/>
        </w:rPr>
        <w:t>Abstract</w:t>
      </w:r>
    </w:p>
    <w:p>
      <w:pPr>
        <w:spacing w:after="120"/>
        <w:ind w:firstLine="360"/>
      </w:pPr>
      <w:r>
        <w:rPr>
          <w:rFonts w:ascii="Times New Roman" w:hAnsi="Times New Roman"/>
          <w:sz w:val="22"/>
        </w:rPr>
        <w:t>As quantum networks transition from laboratory demonstrations to enterprise deployments, Quantum Key Distribution (QKD) is increasingly invoked as the information-theoretic foundation for next-generation secure communication, ranging from TLS 1.3 session establishment to IPsec/IKEv2 tunnel rekeying and inter-service authentication in cloud-native service meshes. This expanding deployment surface raises a critical question: do static, threshold-based eavesdropping detectors — typically anchored at the canonical 11% Quantum Bit Error Rate cutoff — remain effective when adversaries can adapt their strategies within the physical envelope permitted by QKD itself? Prior research in quantum cryptography has established asymptotic security proofs for protocols such as BB84, MDI-QKD, and TF-QKD, but the operational behavior of detection logic under realistic, physics-bounded, co-evolving attacks has not been empirically evaluated at the systems level. We focus on the integrated security pipeline, where a Key Management Entity (KME) supplies symmetric keys via the ETSI GS QKD 014 interface to TLS, IPsec/IKEv2, and service-mesh consumers, while five composed machine-learning models — Random Forest eavesdrop detection, gradient-boosted attack classification, ARIMA QBER forecasting, gradient-boosted parameter tuning, and Isolation Forest KME traffic anomaly detection — replace fixed thresholds with adaptive, closed-loop defense. Using a DEAP-based co-evolutionary adversarial gym (population 100, up to 50 generations) in which attacker populations are constrained by QKD physics — bounded QBER and sift-ratio manifolds, plus four trap-mode derived features (variance_ratio, block_entropy, burst_qber_product, block_kurtosis) that the attacker must satisfy independently rather than receive for free — and defenders harden via incremental retraining each generation, we find that the closed-loop ML pipeline drives final attacker evasion from 32.8% (8-feature baseline) down to 24.8% (12-feature trap mode with a 300-tree, depth-25 Random Forest trained on 3,600 samples at 4,096 bits per sample), a 24% relative reduction, while defender clean-data accuracy holds at 91.2%. Crucially, in this strongest configuration the evasion curve is essentially flat across 50 generations (24.1% → 24.8%): the attacker makes no measurable progress despite an average fitness near 0.99, confirming that physics-aware trap features close the loophole that lets evolved adversaries impersonate consistent BB84 statistics. We further show that defender choice and hyperparameters dominate outcomes: Gradient Boosting defenders, despite higher headline accuracy, allow evasion to climb from 28.1% to 48.8% under the same gym because sharp sequential boundaries are brittle to bounded perturbation, and an over-aggressive hardening ratio of 0.6 degrades clean-data accuracy without improving robustness — a moderate ratio of 0.3 is preferable. To assess deployment relevance, we map the resulting adaptive pipeline onto a hybrid QKD+ML-KEM key-derivation stack (ETSI TS 104 015) and three transport bindings (TLS 1.3 PSK, IKEv2 RFC 8784 mixed-PSK, and service-mesh symmetric rekeying), surveying eight commercial QKD vendors — Toshiba, ID Quantique/IonQ, QuantumCTek, LuxQuanta, Q*Bird, QuintessenceLabs, IBM, and Lockheed Martin — and confirm that the closed-loop defense is compatible with their KME interfaces without breaking ETSI compliance. These findings highlight an emerging but previously overlooked operational risk in QKD security — adversaries that learn within the physical envelope — and call for expanded evaluation frameworks that address not only asymptotic protocol security, but also the empirical, co-evolving interaction between attackers and ML-based defenders in real key-management infrastructure.</w:t>
      </w:r>
    </w:p>
    <w:p>
      <w:r>
        <w:rPr>
          <w:b/>
          <w:sz w:val="20"/>
        </w:rPr>
        <w:t xml:space="preserve">Keywords: </w:t>
      </w:r>
      <w:r>
        <w:rPr>
          <w:i/>
          <w:sz w:val="20"/>
        </w:rPr>
        <w:t>Quantum Key Distribution; BB84; ETSI GS QKD 014; Hybrid QKD+PQC; Adversarial Machine Learning; Co-Evolutionary Optimization; Physics-Constrained Defense; TLS 1.3; IPsec/IKEv2; Service Mesh; Key Management Entity.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