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celebritypublicity-rights"/>
      <w:bookmarkEnd w:id="21"/>
      <w:r>
        <w:t xml:space="preserve">Celebrity/Publicity Rights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bookmarkEnd w:id="24"/>
      <w:r>
        <w:t xml:space="preserve">Right of Publicity</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 the name or likeness of another 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Unlike other personal rights (the right to privacy or the right to protect your reputation), the right of publicity is more about property rights than personality rights. And since it can be sold and licensed to others, some states provide that the right of publicity survives death. Heirs of dead celebrities then inherit the right to control 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 followed the lead of the</w:t>
      </w:r>
      <w:r>
        <w:t xml:space="preserve"> </w:t>
      </w:r>
      <w:hyperlink r:id="rId29">
        <w:r>
          <w:rPr>
            <w:rStyle w:val="Hyperlink"/>
          </w:rPr>
          <w:t xml:space="preserve">Brandeis "Right Of Privacy" article</w:t>
        </w:r>
      </w:hyperlink>
      <w:r>
        <w:t xml:space="preserve">, which spoke of compensating "injury to the feelings." For instance, in</w:t>
      </w:r>
      <w:r>
        <w:t xml:space="preserve"> </w:t>
      </w:r>
      <w:hyperlink r:id="rId30">
        <w:r>
          <w:rPr>
            <w:i/>
            <w:rStyle w:val="Hyperlink"/>
          </w:rPr>
          <w:t xml:space="preserve">Roberson v. Rochester Folding Box Company,</w:t>
        </w:r>
      </w:hyperlink>
      <w:r>
        <w:t xml:space="preserve"> </w:t>
      </w:r>
      <w:r>
        <w:t xml:space="preserve">a 1902 New York case, Abigail Roberson’s picture was reproduced on 25,000 copies of a poster advertising flour without her knowledge or permission. She sued the flour company claiming, not that she should have been paid for the use of her image, but that use of the image without her permission had injured her:</w:t>
      </w:r>
    </w:p>
    <w:p>
      <w:pPr>
        <w:pStyle w:val="BlockText"/>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pPr>
        <w:pStyle w:val="FirstParagraph"/>
      </w:pPr>
      <w:r>
        <w:t xml:space="preserve">The court went on to observe that this was a brand new cause of action, and that it was different than other torts:</w:t>
      </w:r>
    </w:p>
    <w:p>
      <w:pPr>
        <w:pStyle w:val="BlockText"/>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pPr>
        <w:pStyle w:val="FirstParagraph"/>
      </w:pPr>
      <w:r>
        <w:t xml:space="preserve">When Roberson lost her case because the New York Court of Appeals held that the facts of her case stated no known cause of action, the ensuing public outrage led the New York state legislature to create the state's first right of privacy statute.</w:t>
      </w:r>
    </w:p>
    <w:p>
      <w:pPr>
        <w:pStyle w:val="BodyText"/>
      </w:pPr>
      <w:r>
        <w:t xml:space="preserve">Likewise, three years later, in</w:t>
      </w:r>
      <w:r>
        <w:t xml:space="preserve"> </w:t>
      </w:r>
      <w:hyperlink r:id="rId31">
        <w:r>
          <w:rPr>
            <w:i/>
            <w:rStyle w:val="Hyper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w:t>
      </w:r>
    </w:p>
    <w:p>
      <w:pPr>
        <w:pStyle w:val="BodyText"/>
      </w:pPr>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pPr>
        <w:pStyle w:val="BodyText"/>
      </w:pPr>
      <w:r>
        <w:t xml:space="preserve">Georgia became the first state to recognize the right of privacy in common law 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pPr>
        <w:pStyle w:val="FirstParagraph"/>
      </w:pPr>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newspapers, magazines, busses, trains and subways. This right of publicity would usually yield them no money unless it could be made the subject of an exclusive grant 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 both viewed "right of publicity" as akin to a property interest, 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Text"/>
      </w:pPr>
      <w:r>
        <w:t xml:space="preserve">Under standard First Amendment doctrine, this definition can't be accepted at face value ---and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 a company that wanted to market and sell plastic busts of Dr. Martin Luther King, Jr. Bolen approached the Martin Luther King, Jr. Center for Social Change, Inc. ("King Center") and asked them to endorse the busts and help market them.</w:t>
      </w:r>
    </w:p>
    <w:p>
      <w:pPr>
        <w:pStyle w:val="BodyText"/>
      </w:pPr>
      <w:r>
        <w:t xml:space="preserve">The King Center refused Bolen's offer. Bolen went ahead with the project anyway and hired an artist to prepare a mold and an agent to promote the product.</w:t>
      </w:r>
    </w:p>
    <w:p>
      <w:pPr>
        <w:pStyle w:val="BodyText"/>
      </w:pPr>
      <w:r>
        <w:t xml:space="preserve">Bolen took out two half-page advertisements in the November and December 1980 issues of Ebony magazine, and offered the bust for sale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King Center. The advertisement also offered "free" with the purchase of the bust a booklet about the life of Dr. King entitled "A Tribute to Dr. Martin Luther King, Jr."</w:t>
      </w:r>
    </w:p>
    <w:p>
      <w:pPr>
        <w:pStyle w:val="BodyText"/>
      </w:pPr>
      <w:r>
        <w:t xml:space="preserve">The King Center refused to accept the money offered by Bolen, and instead the Center, Coretta Scott King, as administratrix of Dr. King's estate, and Motown Record Corporation, the assignee of the rights to several of Dr. King's copyrighted speeches filed suit against Bolen and his company.</w:t>
      </w:r>
    </w:p>
    <w:p>
      <w:pPr>
        <w:pStyle w:val="Heading4"/>
      </w:pPr>
      <w:bookmarkStart w:id="41" w:name="excerpts-from-the-case"/>
      <w:bookmarkEnd w:id="41"/>
      <w:r>
        <w:t xml:space="preserve">Excerpts From The Case</w:t>
      </w:r>
    </w:p>
    <w:p>
      <w:pPr>
        <w:pStyle w:val="FirstParagraph"/>
      </w:pPr>
      <w:r>
        <w:t xml:space="preserve">The right of publicity may be defined as a celebrity's right to the exclusive use of his or her name and likeness.…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2" w:name="is-the-right-of-publicity-recognized-in-georgia-as-a-right-distinct-from-the-right-of-privacy"/>
      <w:bookmarkEnd w:id="42"/>
      <w:r>
        <w:t xml:space="preserve">1. Is the "right of publicity" recognized in Georgia as a right distinct from the right of privacy?</w:t>
      </w:r>
    </w:p>
    <w:p>
      <w:pPr>
        <w:pStyle w:val="FirstParagraph"/>
      </w:pPr>
      <w:r>
        <w:t xml:space="preserve">Georgia has long recognized the right of privacy. Following denial of the existence of the right of privacy in a controversial decision by the 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 was used without his consent in a newspaper advertisement of the insurance company. Analyzing the right of privacy, this court held:</w:t>
      </w:r>
    </w:p>
    <w:p>
      <w:pPr>
        <w:pStyle w:val="BlockText"/>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pPr>
        <w:pStyle w:val="FirstParagraph"/>
      </w:pPr>
      <w:r>
        <w:t xml:space="preserve">If the right to privacy had not been recognized, advertisers could use photographs of private citizens to promote sales and the professional modeling business would not be what it is today.</w:t>
      </w:r>
    </w:p>
    <w:p>
      <w:pPr>
        <w:pStyle w:val="BodyText"/>
      </w:pPr>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w:t>
      </w:r>
    </w:p>
    <w:p>
      <w:pPr>
        <w:pStyle w:val="BlockText"/>
      </w:pPr>
      <w:r>
        <w:t xml:space="preserve">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31">
        <w:r>
          <w:rPr>
            <w:i/>
            <w:rStyle w:val="Hyperlink"/>
          </w:rPr>
          <w:t xml:space="preserve">Id.</w:t>
        </w:r>
      </w:hyperlink>
      <w:r>
        <w:t xml:space="preserve">. The defendants in the case now before us 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3">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3">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pPr>
        <w:pStyle w:val="FirstParagraph"/>
      </w:pPr>
      <w:r>
        <w:t xml:space="preserve">In</w:t>
      </w:r>
      <w:r>
        <w:t xml:space="preserve"> </w:t>
      </w:r>
      <w:hyperlink r:id="rId44">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3">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5">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5">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5">
        <w:r>
          <w:rPr>
            <w:i/>
            <w:rStyle w:val="Hyperlink"/>
          </w:rPr>
          <w:t xml:space="preserve">Id.</w:t>
        </w:r>
      </w:hyperlink>
      <w:r>
        <w:t xml:space="preserve">):</w:t>
      </w:r>
    </w:p>
    <w:p>
      <w:pPr>
        <w:pStyle w:val="BlockText"/>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"The interest protected (in the 'appropriation' cases) is not so much a mental as a proprietary one, in the exclusive use of the plaintiff's name and likeness as an aspect of 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6">
        <w:r>
          <w:rPr>
            <w:i/>
            <w:rStyle w:val="Hyperlink"/>
          </w:rPr>
          <w:t xml:space="preserve">McQueen v. Wilson,</w:t>
        </w:r>
      </w:hyperlink>
      <w:r>
        <w:t xml:space="preserve"> </w:t>
      </w:r>
      <w:r>
        <w:t xml:space="preserve">reversed on other grounds,</w:t>
      </w:r>
      <w:r>
        <w:t xml:space="preserve"> </w:t>
      </w:r>
      <w:hyperlink r:id="rId47">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6">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5">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bookmarkEnd w:id="48"/>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Hyperlink"/>
          </w:rPr>
          <w:t xml:space="preserve">Haelan Laboratories v. Topps Chewing Gum</w:t>
        </w:r>
      </w:hyperlink>
      <w:r>
        <w:t xml:space="preserve">. That is, without assignability the right of publicity could hardly be called a "right." Recognizing its assignability, most commentators have urged that the right of publicity must also be inheritable.</w:t>
      </w:r>
    </w:p>
    <w:p>
      <w:pPr>
        <w:pStyle w:val="BodyText"/>
      </w:pPr>
      <w:r>
        <w:t xml:space="preserve">The courts that have considered the problem are not as unanimous. In</w:t>
      </w:r>
      <w:r>
        <w:t xml:space="preserve"> </w:t>
      </w:r>
      <w:hyperlink r:id="rId49">
        <w:r>
          <w:rPr>
            <w:i/>
            <w:rStyle w:val="Hyperlink"/>
          </w:rPr>
          <w:t xml:space="preserve">Price v. Hal Roach Studios</w:t>
        </w:r>
        <w:r>
          <w:rPr>
            <w:rStyle w:val="Hyperlink"/>
          </w:rPr>
          <w:t xml:space="preserve">,</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i/>
            <w:rStyle w:val="Hyperlink"/>
          </w:rPr>
          <w:t xml:space="preserve">Lugosi v. Universal Pictures</w:t>
        </w:r>
        <w:r>
          <w:rPr>
            <w:rStyle w:val="Hyper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2" w:name="weltner-justice-concurring-specially."/>
      <w:bookmarkEnd w:id="52"/>
      <w:r>
        <w:t xml:space="preserve">WELTNER, Justice, concurring specially.</w:t>
      </w:r>
    </w:p>
    <w:p>
      <w:pPr>
        <w:pStyle w:val="FirstParagraph"/>
      </w:pPr>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pPr>
        <w:pStyle w:val="BodyText"/>
      </w:pPr>
      <w:r>
        <w:t xml:space="preserve">In this opinion, we have taken the "right of privacy" as enumerated in</w:t>
      </w:r>
      <w:r>
        <w:t xml:space="preserve"> </w:t>
      </w:r>
      <w:hyperlink r:id="rId31">
        <w:r>
          <w:rPr>
            <w:i/>
            <w:rStyle w:val="Hyperlink"/>
          </w:rPr>
          <w:t xml:space="preserve">Pavesich,</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3" w:name="zacchini-v.-scripps-howard-broadcasting-co."/>
      <w:bookmarkEnd w:id="53"/>
      <w:r>
        <w:rPr>
          <w:i/>
        </w:rPr>
        <w:t xml:space="preserve">Zacchini v. Scripps-Howard Broadcasting Co.</w:t>
      </w:r>
    </w:p>
    <w:p>
      <w:pPr>
        <w:pStyle w:val="Heading6"/>
      </w:pPr>
      <w:bookmarkStart w:id="54" w:name="united-states-supreme-court-1977"/>
      <w:bookmarkEnd w:id="54"/>
      <w:r>
        <w:t xml:space="preserve">United States Supreme Court (1977)</w:t>
      </w:r>
    </w:p>
    <w:p>
      <w:pPr>
        <w:pStyle w:val="Compact"/>
        <w:numPr>
          <w:numId w:val="1004"/>
          <w:ilvl w:val="0"/>
        </w:numPr>
      </w:pPr>
      <w:hyperlink r:id="rId55">
        <w:r>
          <w:rPr>
            <w:rStyle w:val="Hyperlink"/>
          </w:rPr>
          <w:t xml:space="preserve">Zacchini on Google Scholar</w:t>
        </w:r>
      </w:hyperlink>
    </w:p>
    <w:p>
      <w:pPr>
        <w:pStyle w:val="Compact"/>
        <w:numPr>
          <w:numId w:val="1004"/>
          <w:ilvl w:val="0"/>
        </w:numPr>
      </w:pPr>
      <w:hyperlink r:id="rId56">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7" w:name="i"/>
      <w:bookmarkEnd w:id="57"/>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0" w:name="ii"/>
      <w:bookmarkEnd w:id="60"/>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 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1">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3">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4">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6">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 The Constitution does not prevent Ohio from making a similar choice here in deciding to protect the entertainer's incentive in order to 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7" w:name="notes-on-zacchini"/>
      <w:bookmarkEnd w:id="67"/>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8" w:name="carson-v.-heres-johnny-portable-toilets-inc."/>
      <w:bookmarkEnd w:id="68"/>
      <w:r>
        <w:rPr>
          <w:i/>
        </w:rPr>
        <w:t xml:space="preserve">Carson v. Here's Johnny Portable Toilets, Inc.</w:t>
      </w:r>
    </w:p>
    <w:p>
      <w:pPr>
        <w:pStyle w:val="Heading6"/>
      </w:pPr>
      <w:bookmarkStart w:id="69" w:name="court-of-appeals-6th-circuit-1983"/>
      <w:bookmarkEnd w:id="69"/>
      <w:r>
        <w:t xml:space="preserve">Court of Appeals, 6th Circuit (1983)</w:t>
      </w:r>
    </w:p>
    <w:p>
      <w:pPr>
        <w:pStyle w:val="Compact"/>
        <w:numPr>
          <w:numId w:val="1005"/>
          <w:ilvl w:val="0"/>
        </w:numPr>
      </w:pPr>
      <w:hyperlink r:id="rId70">
        <w:r>
          <w:rPr>
            <w:rStyle w:val="Hyperlink"/>
          </w:rPr>
          <w:t xml:space="preserve">case on Google Scholar</w:t>
        </w:r>
      </w:hyperlink>
    </w:p>
    <w:p>
      <w:pPr>
        <w:pStyle w:val="Compact"/>
        <w:numPr>
          <w:numId w:val="1005"/>
          <w:ilvl w:val="0"/>
        </w:numPr>
      </w:pPr>
      <w:hyperlink r:id="rId71">
        <w:r>
          <w:rPr>
            <w:rStyle w:val="Hyperlink"/>
          </w:rPr>
          <w:t xml:space="preserve">case on Westlaw</w:t>
        </w:r>
      </w:hyperlink>
    </w:p>
    <w:p>
      <w:pPr>
        <w:pStyle w:val="Compact"/>
        <w:numPr>
          <w:numId w:val="1005"/>
          <w:ilvl w:val="0"/>
        </w:numPr>
      </w:pPr>
      <w:hyperlink r:id="rId72">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3" w:name="right-of-publicity-1"/>
      <w:bookmarkEnd w:id="73"/>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 [</w:t>
      </w:r>
      <w:r>
        <w:rPr>
          <w:i/>
        </w:rPr>
        <w:t xml:space="preserve">Beaumont v. Brown,</w:t>
      </w:r>
      <w:r>
        <w:t xml:space="preserve"> </w:t>
      </w:r>
      <w:r>
        <w:t xml:space="preserve">(MI 1977)](http://scholar.google.com/scholar_case?case=14920951584418126067).</w:t>
      </w:r>
    </w:p>
    <w:p>
      <w:pPr>
        <w:pStyle w:val="BodyText"/>
      </w:pPr>
      <w:hyperlink r:id="rId74">
        <w:r>
          <w:rPr>
            <w:rStyle w:val="Hyperlink"/>
          </w:rPr>
          <w:t xml:space="preserve">In an influential article</w:t>
        </w:r>
      </w:hyperlink>
      <w:r>
        <w:t xml:space="preserve">, 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 "right of publicity."</w:t>
      </w:r>
      <w:r>
        <w:t xml:space="preserve"> </w:t>
      </w:r>
      <w:hyperlink r:id="rId55">
        <w:r>
          <w:rPr>
            <w:i/>
            <w:rStyle w:val="Hyperlink"/>
          </w:rPr>
          <w:t xml:space="preserve">Zacchini v. Scripps-Howard Broadcasting Co.</w:t>
        </w:r>
        <w:r>
          <w:rPr>
            <w:rStyle w:val="Hyperlink"/>
          </w:rPr>
          <w:t xml:space="preserve"> </w:t>
        </w:r>
        <w:r>
          <w:rPr>
            <w:rStyle w:val="Hyperlink"/>
          </w:rPr>
          <w:t xml:space="preserve">(S.Ct. 1977)</w:t>
        </w:r>
      </w:hyperlink>
      <w:r>
        <w:t xml:space="preserve">. Henceforth we will refer to Prosser's last, or fourth, category as the "right of publicity."</w:t>
      </w:r>
    </w:p>
    <w:p>
      <w:pPr>
        <w:pStyle w:val="BodyText"/>
      </w:pPr>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5">
        <w:r>
          <w:rPr>
            <w:i/>
            <w:rStyle w:val="Hyperlink"/>
          </w:rPr>
          <w:t xml:space="preserve">Zacchini</w:t>
        </w:r>
      </w:hyperlink>
      <w:r>
        <w:t xml:space="preserve">.… Thus, the right of privacy and the right of publicity protect fundamentally different interests and must be analyzed separately.</w:t>
      </w:r>
    </w:p>
    <w:p>
      <w:pPr>
        <w:pStyle w:val="BodyText"/>
      </w:pPr>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 "The famous have an exclusive legal right during life to control and profit from the commercial use of their name and personality."</w:t>
      </w:r>
    </w:p>
    <w:p>
      <w:pPr>
        <w:pStyle w:val="BodyText"/>
      </w:pPr>
      <w:r>
        <w:t xml:space="preserve">The district court dismissed appellants' claim based on the right of publicity because appellee does not use Carson's name or likeness.</w:t>
      </w:r>
      <w:r>
        <w:t xml:space="preserve"> </w:t>
      </w:r>
      <w:hyperlink r:id="rId76">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76">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Text"/>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79">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pPr>
        <w:pStyle w:val="FirstParagraph"/>
      </w:pPr>
      <w:hyperlink r:id="rId79">
        <w:r>
          <w:rPr>
            <w:rStyle w:val="Hyperlink"/>
          </w:rPr>
          <w:t xml:space="preserve">280 N.W.2d at 137</w:t>
        </w:r>
      </w:hyperlink>
      <w:r>
        <w:t xml:space="preserve">.</w:t>
      </w:r>
    </w:p>
    <w:p>
      <w:pPr>
        <w:pStyle w:val="BodyText"/>
      </w:pPr>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Text"/>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pPr>
        <w:pStyle w:val="FirstParagraph"/>
      </w:pPr>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 ("It is the plaintiff's name as a symbol of his identity that is involved here, and not as a mere name.")]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80" w:name="policies-behind-right-of-publicity"/>
      <w:bookmarkEnd w:id="80"/>
      <w:r>
        <w:t xml:space="preserve">Policies Behind Right of Publicity</w:t>
      </w:r>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i/>
            <w:rStyle w:val="Hyper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5">
        <w:r>
          <w:rPr>
            <w:i/>
            <w:rStyle w:val="Hyper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5">
        <w:r>
          <w:rPr>
            <w:i/>
            <w:rStyle w:val="Hyperlink"/>
          </w:rPr>
          <w:t xml:space="preserve">Zacchini</w:t>
        </w:r>
        <w:r>
          <w:rPr>
            <w:rStyle w:val="Hyperlink"/>
          </w:rPr>
          <w:t xml:space="preserve">.</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pPr>
        <w:pStyle w:val="BodyText"/>
      </w:pPr>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2" w:name="countervailing-interests-and-considerations"/>
      <w:bookmarkEnd w:id="82"/>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3" w:name="federal-policy-monopolies"/>
      <w:bookmarkEnd w:id="83"/>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4">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pPr>
        <w:pStyle w:val="BodyText"/>
      </w:pPr>
      <w:r>
        <w:t xml:space="preserve">Also unlike the federal statutory monopolies, this common law monopoly right offers no protections against the monopoly existing for an indefinite time or even in perpetuity [citations omitted].</w:t>
      </w:r>
    </w:p>
    <w:p>
      <w:pPr>
        <w:pStyle w:val="Heading4"/>
      </w:pPr>
      <w:bookmarkStart w:id="85" w:name="free-expression-and-use-of-intellectual-property"/>
      <w:bookmarkEnd w:id="85"/>
      <w:r>
        <w:t xml:space="preserve">Free Expression and Use of Intellectual Property</w:t>
      </w:r>
    </w:p>
    <w:p>
      <w:pPr>
        <w:pStyle w:val="FirstParagraph"/>
      </w:pPr>
      <w:r>
        <w:t xml:space="preserve">The first amendment protects the freedom of speech, including commercial speech.</w:t>
      </w:r>
      <w:r>
        <w:t xml:space="preserve"> </w:t>
      </w:r>
      <w:hyperlink r:id="rId86">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bookmarkEnd w:id="87"/>
      <w:r>
        <w:rPr>
          <w:i/>
        </w:rPr>
        <w:t xml:space="preserve">White v. Samsung Electronics America, Inc.</w:t>
      </w:r>
    </w:p>
    <w:p>
      <w:pPr>
        <w:pStyle w:val="Heading6"/>
      </w:pPr>
      <w:bookmarkStart w:id="88" w:name="us-court-of-appeals-9th-circuit-1992"/>
      <w:bookmarkEnd w:id="88"/>
      <w:r>
        <w:t xml:space="preserve">US Court of Appeals, 9th Circuit (1992)</w:t>
      </w:r>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case on Westlaw</w:t>
        </w:r>
      </w:hyperlink>
    </w:p>
    <w:p>
      <w:pPr>
        <w:pStyle w:val="Compact"/>
        <w:numPr>
          <w:numId w:val="1007"/>
          <w:ilvl w:val="0"/>
        </w:numPr>
      </w:pPr>
      <w:hyperlink r:id="rId91">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pPr>
        <w:pStyle w:val="BodyText"/>
      </w:pPr>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pPr>
        <w:pStyle w:val="BodyText"/>
      </w:pPr>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pPr>
        <w:pStyle w:val="BodyText"/>
      </w:pPr>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pPr>
        <w:pStyle w:val="BodyText"/>
      </w:pPr>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2" w:name="i.-section-3344"/>
      <w:bookmarkEnd w:id="92"/>
      <w:r>
        <w:t xml:space="preserve">I.</w:t>
      </w:r>
      <w:r>
        <w:t xml:space="preserve"> </w:t>
      </w:r>
      <w:r>
        <w:rPr>
          <w:i/>
        </w:rPr>
        <w:t xml:space="preserve">Section 3344</w:t>
      </w:r>
    </w:p>
    <w:p>
      <w:pPr>
        <w:pStyle w:val="FirstParagraph"/>
      </w:pPr>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pPr>
        <w:pStyle w:val="BodyText"/>
      </w:pPr>
      <w:r>
        <w:t xml:space="preserve">White argues that the Samsung advertisement used her "likeness" in contravention of section 3344. In</w:t>
      </w:r>
      <w:r>
        <w:t xml:space="preserve"> </w:t>
      </w:r>
      <w:hyperlink r:id="rId93">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pPr>
        <w:pStyle w:val="BodyText"/>
      </w:pPr>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4" w:name="ii.-right-of-publicity"/>
      <w:bookmarkEnd w:id="94"/>
      <w:r>
        <w:t xml:space="preserve">II.</w:t>
      </w:r>
      <w:r>
        <w:t xml:space="preserve"> </w:t>
      </w:r>
      <w:r>
        <w:rPr>
          <w:i/>
        </w:rPr>
        <w:t xml:space="preserve">Right of Publicity</w:t>
      </w:r>
    </w:p>
    <w:p>
      <w:pPr>
        <w:pStyle w:val="FirstParagraph"/>
      </w:pPr>
      <w:r>
        <w:t xml:space="preserve">White next argues that the district court erred in granting summary judgment to defendants on White's common law right of publicity claim. In</w:t>
      </w:r>
      <w:r>
        <w:t xml:space="preserve"> </w:t>
      </w:r>
      <w:hyperlink r:id="rId95">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 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pPr>
        <w:pStyle w:val="BodyText"/>
      </w:pPr>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 "</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70">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pPr>
        <w:pStyle w:val="FirstParagraph"/>
      </w:pPr>
      <w:hyperlink r:id="rId70">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6" w:name="iv.-the-parody-defense"/>
      <w:bookmarkEnd w:id="96"/>
      <w:r>
        <w:t xml:space="preserve">IV.</w:t>
      </w:r>
      <w:r>
        <w:t xml:space="preserve"> </w:t>
      </w:r>
      <w:r>
        <w:rPr>
          <w:i/>
        </w:rPr>
        <w:t xml:space="preserve">The Parody Defense</w:t>
      </w:r>
    </w:p>
    <w:p>
      <w:pPr>
        <w:pStyle w:val="FirstParagraph"/>
      </w:pPr>
      <w:r>
        <w:t xml:space="preserve">In defense, defendants cite a number of cases for the proposition that their robot ad constituted protected speech. The only cases they cite which are even remotely relevant to this case are</w:t>
      </w:r>
      <w:r>
        <w:t xml:space="preserve"> </w:t>
      </w:r>
      <w:hyperlink r:id="rId97">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8">
        <w:r>
          <w:rPr>
            <w:i/>
            <w:rStyle w:val="Hyperlink"/>
          </w:rPr>
          <w:t xml:space="preserve">L.L. Bean, Inc. v. Drake Publishers, Inc.,</w:t>
        </w:r>
        <w:r>
          <w:rPr>
            <w:rStyle w:val="Hyperlink"/>
          </w:rPr>
          <w:t xml:space="preserve"> </w:t>
        </w:r>
        <w:r>
          <w:rPr>
            <w:rStyle w:val="Hyper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99" w:name="v.-conclusion"/>
      <w:bookmarkEnd w:id="99"/>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0" w:name="dissent"/>
      <w:bookmarkEnd w:id="100"/>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1" w:name="white-v.-samsung-electronics-inc."/>
      <w:bookmarkEnd w:id="101"/>
      <w:r>
        <w:rPr>
          <w:i/>
        </w:rPr>
        <w:t xml:space="preserve">White v. Samsung Electronics, Inc.</w:t>
      </w:r>
    </w:p>
    <w:p>
      <w:pPr>
        <w:pStyle w:val="Heading6"/>
      </w:pPr>
      <w:bookmarkStart w:id="102" w:name="us-court-of-appeals-9th-circuit-1993"/>
      <w:bookmarkEnd w:id="102"/>
      <w:r>
        <w:t xml:space="preserve">US Court of Appeals, 9th Circuit (1993)</w:t>
      </w:r>
    </w:p>
    <w:p>
      <w:pPr>
        <w:pStyle w:val="Compact"/>
        <w:numPr>
          <w:numId w:val="1009"/>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pPr>
        <w:pStyle w:val="BodyText"/>
      </w:pPr>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pPr>
        <w:pStyle w:val="BodyText"/>
      </w:pPr>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pPr>
        <w:pStyle w:val="BodyText"/>
      </w:pPr>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"identity"---anything that "evokes" her personality.</w:t>
      </w:r>
      <w:r>
        <w:t xml:space="preserve"> </w:t>
      </w:r>
      <w:r>
        <w:rPr>
          <w:i/>
        </w:rPr>
        <w:t xml:space="preserve">Id.</w:t>
      </w:r>
    </w:p>
    <w:p>
      <w:pPr>
        <w:pStyle w:val="BodyText"/>
      </w:pPr>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pPr>
        <w:pStyle w:val="BodyText"/>
      </w:pPr>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pPr>
        <w:pStyle w:val="BodyText"/>
      </w:pPr>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it---a brunette woman, a man wearing women's clothes, a monkey in a wig and gown---would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pPr>
        <w:pStyle w:val="BodyText"/>
      </w:pPr>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3">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4">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5">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6" w:name="criminal-celebrities"/>
      <w:bookmarkEnd w:id="106"/>
      <w:r>
        <w:t xml:space="preserve">Criminal Celebrities</w:t>
      </w:r>
    </w:p>
    <w:p>
      <w:pPr>
        <w:pStyle w:val="Heading3"/>
      </w:pPr>
      <w:bookmarkStart w:id="107" w:name="simon-schuster-inc.-v.-members-of-ny-state-crime-victims-bd."/>
      <w:bookmarkEnd w:id="107"/>
      <w:r>
        <w:rPr>
          <w:i/>
        </w:rPr>
        <w:t xml:space="preserve">Simon &amp; Schuster, Inc. v. Members of NY State Crime Victims Bd.</w:t>
      </w:r>
    </w:p>
    <w:p>
      <w:pPr>
        <w:pStyle w:val="Heading5"/>
      </w:pPr>
      <w:bookmarkStart w:id="108" w:name="united-states-supreme-court-1991"/>
      <w:bookmarkEnd w:id="108"/>
      <w:r>
        <w:t xml:space="preserve">United States Supreme Court (1991)</w:t>
      </w:r>
    </w:p>
    <w:p>
      <w:pPr>
        <w:pStyle w:val="Compact"/>
        <w:numPr>
          <w:numId w:val="1010"/>
          <w:ilvl w:val="0"/>
        </w:numPr>
      </w:pPr>
      <w:hyperlink r:id="rId109">
        <w:r>
          <w:rPr>
            <w:rStyle w:val="Hyperlink"/>
          </w:rPr>
          <w:t xml:space="preserve">Case on Google Scholar</w:t>
        </w:r>
      </w:hyperlink>
    </w:p>
    <w:p>
      <w:pPr>
        <w:pStyle w:val="Compact"/>
        <w:numPr>
          <w:numId w:val="1010"/>
          <w:ilvl w:val="0"/>
        </w:numPr>
      </w:pPr>
      <w:hyperlink r:id="rId110">
        <w:r>
          <w:rPr>
            <w:rStyle w:val="Hyperlink"/>
          </w:rPr>
          <w:t xml:space="preserve">Case on Westlaw</w:t>
        </w:r>
      </w:hyperlink>
    </w:p>
    <w:p>
      <w:pPr>
        <w:pStyle w:val="Compact"/>
        <w:numPr>
          <w:numId w:val="1010"/>
          <w:ilvl w:val="0"/>
        </w:numPr>
      </w:pPr>
      <w:hyperlink r:id="rId111">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2" w:name="i.a."/>
      <w:bookmarkEnd w:id="112"/>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3" w:name="i.b."/>
      <w:bookmarkEnd w:id="113"/>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4" w:name="i.c."/>
      <w:bookmarkEnd w:id="114"/>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5" w:name="ii.a."/>
      <w:bookmarkEnd w:id="115"/>
      <w:r>
        <w:t xml:space="preserve">II.A.</w:t>
      </w:r>
    </w:p>
    <w:p>
      <w:pPr>
        <w:pStyle w:val="FirstParagraph"/>
      </w:pPr>
      <w:r>
        <w:t xml:space="preserve">A statute is presumptively inconsistent with the First Amendment if it imposes a financial burden on speakers because of the content of their speech.</w:t>
      </w:r>
      <w:r>
        <w:t xml:space="preserve"> </w:t>
      </w:r>
      <w:hyperlink r:id="rId116">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17">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 "obvious" as to not require explanation.</w:t>
      </w:r>
      <w:r>
        <w:t xml:space="preserve"> </w:t>
      </w:r>
      <w:hyperlink r:id="rId116">
        <w:r>
          <w:rPr>
            <w:i/>
            <w:rStyle w:val="Hyperlink"/>
          </w:rPr>
          <w:t xml:space="preserve">Leathers</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18">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19">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6">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0">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17">
        <w:r>
          <w:rPr>
            <w:i/>
            <w:rStyle w:val="Hyperlink"/>
          </w:rPr>
          <w:t xml:space="preserve">Arkansas Writers' Project,</w:t>
        </w:r>
      </w:hyperlink>
      <w:r>
        <w:t xml:space="preserve">.</w:t>
      </w:r>
    </w:p>
    <w:p>
      <w:pPr>
        <w:pStyle w:val="Heading3"/>
      </w:pPr>
      <w:bookmarkStart w:id="121" w:name="ii.b."/>
      <w:bookmarkEnd w:id="121"/>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r>
        <w:t xml:space="preserve"> </w:t>
      </w:r>
      <w:hyperlink r:id="rId97">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2">
        <w:r>
          <w:rPr>
            <w:i/>
            <w:rStyle w:val="Hyperlink"/>
          </w:rPr>
          <w:t xml:space="preserve">FCC v. Pacifica Foundation,</w:t>
        </w:r>
        <w:r>
          <w:rPr>
            <w:rStyle w:val="Hyperlink"/>
          </w:rPr>
          <w:t xml:space="preserve"> </w:t>
        </w:r>
        <w:r>
          <w:rPr>
            <w:rStyle w:val="Hyper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3">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4">
        <w:r>
          <w:rPr>
            <w:i/>
            <w:rStyle w:val="Hyper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5">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6" w:name="ii.c."/>
      <w:bookmarkEnd w:id="126"/>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7" w:name="iii"/>
      <w:bookmarkEnd w:id="127"/>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2"/>
      </w:pPr>
      <w:bookmarkStart w:id="128" w:name="transformation"/>
      <w:bookmarkEnd w:id="128"/>
      <w:r>
        <w:t xml:space="preserve">Transformation</w:t>
      </w:r>
    </w:p>
    <w:p>
      <w:pPr>
        <w:pStyle w:val="Heading3"/>
      </w:pPr>
      <w:bookmarkStart w:id="129" w:name="comedy-iii-productions-v.-gary-saderup-inc."/>
      <w:bookmarkEnd w:id="129"/>
      <w:r>
        <w:rPr>
          <w:i/>
        </w:rPr>
        <w:t xml:space="preserve">Comedy III Productions v. Gary Saderup, Inc.</w:t>
      </w:r>
    </w:p>
    <w:p>
      <w:pPr>
        <w:pStyle w:val="Heading6"/>
      </w:pPr>
      <w:bookmarkStart w:id="130" w:name="california-supreme-court-2001"/>
      <w:bookmarkEnd w:id="130"/>
      <w:r>
        <w:t xml:space="preserve">California Supreme Court (2001)</w:t>
      </w:r>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1" w:name="i.-the-statute"/>
      <w:bookmarkEnd w:id="131"/>
      <w:r>
        <w:t xml:space="preserve">I. The Statute</w:t>
      </w:r>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1">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pPr>
        <w:pStyle w:val="FirstParagraph"/>
      </w:pPr>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pPr>
        <w:pStyle w:val="BodyText"/>
      </w:pPr>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2" w:name="ii.-facts"/>
      <w:bookmarkEnd w:id="132"/>
      <w:r>
        <w:t xml:space="preserve">II. Facts</w:t>
      </w:r>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pPr>
        <w:pStyle w:val="BodyText"/>
      </w:pPr>
      <w:r>
        <w:t xml:space="preserve">We granted review to address these two issues.</w:t>
      </w:r>
    </w:p>
    <w:p>
      <w:pPr>
        <w:pStyle w:val="Heading4"/>
      </w:pPr>
      <w:bookmarkStart w:id="133" w:name="iii.-discussion"/>
      <w:bookmarkEnd w:id="133"/>
      <w:r>
        <w:t xml:space="preserve">III. Discussion</w:t>
      </w:r>
    </w:p>
    <w:p>
      <w:pPr>
        <w:pStyle w:val="Heading4"/>
      </w:pPr>
      <w:bookmarkStart w:id="134" w:name="a.-the-statutory-issue"/>
      <w:bookmarkEnd w:id="134"/>
      <w:r>
        <w:rPr>
          <w:i/>
        </w:rPr>
        <w:t xml:space="preserve">A. The Statutory Issue</w:t>
      </w:r>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5" w:name="b.-the-constitutional-issue"/>
      <w:bookmarkEnd w:id="135"/>
      <w:r>
        <w:rPr>
          <w:i/>
        </w:rPr>
        <w:t xml:space="preserve">B. The Constitutional Issue</w:t>
      </w:r>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36">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36">
        <w:r>
          <w:rPr>
            <w:i/>
            <w:rStyle w:val="Hyperlink"/>
          </w:rPr>
          <w:t xml:space="preserve">Guglielmi</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pPr>
        <w:pStyle w:val="BodyText"/>
      </w:pPr>
      <w:r>
        <w:t xml:space="preserve">For similar reasons, speech about public figures is accorded heightened First Amendment protection in defamation law. As the United States Supreme Court held in</w:t>
      </w:r>
      <w:r>
        <w:t xml:space="preserve"> </w:t>
      </w:r>
      <w:hyperlink r:id="rId62">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1">
        <w:r>
          <w:rPr>
            <w:i/>
            <w:rStyle w:val="Hyperlink"/>
          </w:rPr>
          <w:t xml:space="preserve">Lugosi</w:t>
        </w:r>
      </w:hyperlink>
      <w:r>
        <w:t xml:space="preserve">.</w:t>
      </w:r>
    </w:p>
    <w:p>
      <w:pPr>
        <w:pStyle w:val="BodyText"/>
      </w:pPr>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pPr>
        <w:pStyle w:val="BodyText"/>
      </w:pPr>
      <w:r>
        <w:t xml:space="preserve">[The Court reviewed</w:t>
      </w:r>
      <w:r>
        <w:t xml:space="preserve"> </w:t>
      </w:r>
      <w:hyperlink r:id="rId55">
        <w:r>
          <w:rPr>
            <w:i/>
            <w:rStyle w:val="Hyperlink"/>
          </w:rPr>
          <w:t xml:space="preserve">Zacchini</w:t>
        </w:r>
      </w:hyperlink>
      <w:r>
        <w:t xml:space="preserve">, and found two principles applicable to this case:</w:t>
      </w:r>
    </w:p>
    <w:p>
      <w:pPr>
        <w:pStyle w:val="Compact"/>
        <w:numPr>
          <w:numId w:val="1011"/>
          <w:ilvl w:val="0"/>
        </w:numPr>
      </w:pPr>
      <w:r>
        <w:t xml:space="preserve">state law may validly safeguard forms of intellectual property not covered under federal copyright and patent law as a means of protecting the fruits of a performing artist's labor; and</w:t>
      </w:r>
    </w:p>
    <w:p>
      <w:pPr>
        <w:pStyle w:val="Compact"/>
        <w:numPr>
          <w:numId w:val="1011"/>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1">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36">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pPr>
        <w:pStyle w:val="BodyText"/>
      </w:pPr>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pPr>
        <w:pStyle w:val="BodyText"/>
      </w:pPr>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pPr>
        <w:pStyle w:val="BodyText"/>
      </w:pPr>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the goal of copyright, to promote science and the arts, is generally furthered by the creation of transformative works."</w:t>
      </w:r>
      <w:r>
        <w:t xml:space="preserve"> </w:t>
      </w:r>
      <w:hyperlink r:id="rId137">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55">
        <w:r>
          <w:rPr>
            <w:i/>
            <w:rStyle w:val="Hyperlink"/>
          </w:rPr>
          <w:t xml:space="preserve">Zacchini</w:t>
        </w:r>
      </w:hyperlink>
      <w:r>
        <w:t xml:space="preserve">.</w:t>
      </w:r>
    </w:p>
    <w:p>
      <w:pPr>
        <w:pStyle w:val="BodyText"/>
      </w:pPr>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38">
        <w:r>
          <w:rPr>
            <w:i/>
            <w:rStyle w:val="Hyperlink"/>
          </w:rPr>
          <w:t xml:space="preserve">Cardtoons, L.C v. Major League Baseball Players Association</w:t>
        </w:r>
        <w:r>
          <w:rPr>
            <w:rStyle w:val="Hyperlink"/>
          </w:rPr>
          <w:t xml:space="preserve"> </w:t>
        </w:r>
        <w:r>
          <w:rPr>
            <w:rStyle w:val="Hyper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pPr>
        <w:pStyle w:val="BodyText"/>
      </w:pPr>
      <w:hyperlink r:id="rId138">
        <w:r>
          <w:rPr>
            <w:i/>
            <w:rStyle w:val="Hyperlink"/>
          </w:rPr>
          <w:t xml:space="preserve">Cardtoons,</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7">
        <w:r>
          <w:rPr>
            <w:i/>
            <w:rStyle w:val="Hyperlink"/>
          </w:rPr>
          <w:t xml:space="preserve">Hustler Magazine v. Falwell</w:t>
        </w:r>
      </w:hyperlink>
      <w:r>
        <w:t xml:space="preserve">; see also</w:t>
      </w:r>
      <w:r>
        <w:t xml:space="preserve"> </w:t>
      </w:r>
      <w:hyperlink r:id="rId137">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pPr>
        <w:pStyle w:val="BodyText"/>
      </w:pPr>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pPr>
        <w:pStyle w:val="BodyText"/>
      </w:pPr>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39">
        <w:r>
          <w:rPr>
            <w:i/>
            <w:rStyle w:val="Hyperlink"/>
          </w:rPr>
          <w:t xml:space="preserve">L. Batlin &amp; Son, Inc. v. Snyder</w:t>
        </w:r>
      </w:hyperlink>
      <w:r>
        <w:t xml:space="preserve">), 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0">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pPr>
        <w:pStyle w:val="BodyText"/>
      </w:pPr>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pPr>
        <w:pStyle w:val="BodyText"/>
      </w:pPr>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pPr>
        <w:pStyle w:val="BodyText"/>
      </w:pPr>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1" w:name="iv.-disposition"/>
      <w:bookmarkEnd w:id="141"/>
      <w:r>
        <w:t xml:space="preserve">IV. Disposition</w:t>
      </w:r>
    </w:p>
    <w:p>
      <w:pPr>
        <w:pStyle w:val="FirstParagraph"/>
      </w:pPr>
      <w:r>
        <w:t xml:space="preserve">The judgment of the Court of Appeal is affirmed.</w:t>
      </w:r>
    </w:p>
    <w:p>
      <w:pPr>
        <w:pStyle w:val="Heading3"/>
      </w:pPr>
      <w:bookmarkStart w:id="142" w:name="cases-mentioned-in-class"/>
      <w:bookmarkEnd w:id="142"/>
      <w:r>
        <w:t xml:space="preserve">Cases Mentioned In Class</w:t>
      </w:r>
    </w:p>
    <w:p>
      <w:pPr>
        <w:pStyle w:val="Heading4"/>
      </w:pPr>
      <w:bookmarkStart w:id="143" w:name="parks-v.-laface-records"/>
      <w:bookmarkEnd w:id="143"/>
      <w:r>
        <w:rPr>
          <w:i/>
        </w:rPr>
        <w:t xml:space="preserve">Parks v. LaFace Records</w:t>
      </w:r>
    </w:p>
    <w:p>
      <w:pPr>
        <w:pStyle w:val="Heading6"/>
      </w:pPr>
      <w:bookmarkStart w:id="144" w:name="th-cir.-2001"/>
      <w:bookmarkEnd w:id="144"/>
      <w:r>
        <w:t xml:space="preserve">(6th Cir. 2001)</w:t>
      </w:r>
    </w:p>
    <w:p>
      <w:pPr>
        <w:pStyle w:val="Compact"/>
        <w:numPr>
          <w:numId w:val="1012"/>
          <w:ilvl w:val="0"/>
        </w:numPr>
      </w:pPr>
      <w:hyperlink r:id="rId145">
        <w:r>
          <w:rPr>
            <w:rStyle w:val="Hyperlink"/>
          </w:rPr>
          <w:t xml:space="preserve">case on Westlaw</w:t>
        </w:r>
      </w:hyperlink>
    </w:p>
    <w:p>
      <w:pPr>
        <w:pStyle w:val="Compact"/>
        <w:numPr>
          <w:numId w:val="1012"/>
          <w:ilvl w:val="0"/>
        </w:numPr>
      </w:pPr>
      <w:hyperlink r:id="rId146">
        <w:r>
          <w:rPr>
            <w:rStyle w:val="Hyperlink"/>
          </w:rPr>
          <w:t xml:space="preserve">case on Wikipedia</w:t>
        </w:r>
      </w:hyperlink>
    </w:p>
    <w:p>
      <w:pPr>
        <w:pStyle w:val="Heading4"/>
      </w:pPr>
      <w:bookmarkStart w:id="147" w:name="etw-corp.-v.-jireh-publishing"/>
      <w:bookmarkEnd w:id="147"/>
      <w:r>
        <w:rPr>
          <w:i/>
        </w:rPr>
        <w:t xml:space="preserve">ETW Corp. v. Jireh Publishing</w:t>
      </w:r>
    </w:p>
    <w:p>
      <w:pPr>
        <w:pStyle w:val="Heading6"/>
      </w:pPr>
      <w:bookmarkStart w:id="148" w:name="th-cir.-2003"/>
      <w:bookmarkEnd w:id="148"/>
      <w:r>
        <w:t xml:space="preserve">(6th Cir. 2003)</w:t>
      </w:r>
    </w:p>
    <w:p>
      <w:pPr>
        <w:pStyle w:val="Compact"/>
        <w:numPr>
          <w:numId w:val="1013"/>
          <w:ilvl w:val="0"/>
        </w:numPr>
      </w:pPr>
      <w:hyperlink r:id="rId149">
        <w:r>
          <w:rPr>
            <w:rStyle w:val="Hyperlink"/>
          </w:rPr>
          <w:t xml:space="preserve">case on Westlaw</w:t>
        </w:r>
      </w:hyperlink>
    </w:p>
    <w:p>
      <w:pPr>
        <w:pStyle w:val="Compact"/>
        <w:numPr>
          <w:numId w:val="1013"/>
          <w:ilvl w:val="0"/>
        </w:numPr>
      </w:pPr>
      <w:hyperlink r:id="rId150">
        <w:r>
          <w:rPr>
            <w:rStyle w:val="Hyperlink"/>
          </w:rPr>
          <w:t xml:space="preserve">Art on Trial</w:t>
        </w:r>
      </w:hyperlink>
      <w:r>
        <w:t xml:space="preserve">.</w:t>
      </w:r>
    </w:p>
    <w:p>
      <w:pPr>
        <w:pStyle w:val="Heading4"/>
      </w:pPr>
      <w:bookmarkStart w:id="151" w:name="trademark-lanham-act-language"/>
      <w:bookmarkEnd w:id="151"/>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52" w:name="volokh-right-of-publicity-speech-categories"/>
      <w:bookmarkEnd w:id="152"/>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53" w:name="referencefootnote-cases"/>
      <w:bookmarkEnd w:id="153"/>
      <w:r>
        <w:t xml:space="preserve">Reference/Footnote Cases</w:t>
      </w:r>
    </w:p>
    <w:p>
      <w:pPr>
        <w:pStyle w:val="Compact"/>
        <w:numPr>
          <w:numId w:val="1021"/>
          <w:ilvl w:val="0"/>
        </w:numPr>
      </w:pPr>
      <w:hyperlink r:id="rId154">
        <w:r>
          <w:rPr>
            <w:i/>
            <w:rStyle w:val="Hyperlink"/>
          </w:rPr>
          <w:t xml:space="preserve">Matthews v. Wozencraft,</w:t>
        </w:r>
      </w:hyperlink>
      <w:r>
        <w:t xml:space="preserve"> </w:t>
      </w:r>
      <w:r>
        <w:t xml:space="preserve">15 F.3d 432 (5th Cir. 1994).</w:t>
      </w:r>
    </w:p>
    <w:p>
      <w:pPr>
        <w:pStyle w:val="Compact"/>
        <w:numPr>
          <w:numId w:val="1021"/>
          <w:ilvl w:val="0"/>
        </w:numPr>
      </w:pPr>
      <w:hyperlink r:id="rId15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56">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57">
        <w:r>
          <w:rPr>
            <w:rStyle w:val="Hyperlink"/>
          </w:rPr>
          <w:t xml:space="preserve">Juris Notes</w:t>
        </w:r>
      </w:hyperlink>
      <w:r>
        <w:t xml:space="preserve">.</w:t>
      </w:r>
    </w:p>
    <w:p>
      <w:pPr>
        <w:pStyle w:val="Compact"/>
        <w:numPr>
          <w:numId w:val="1021"/>
          <w:ilvl w:val="0"/>
        </w:numPr>
      </w:pPr>
      <w:hyperlink r:id="rId158">
        <w:r>
          <w:rPr>
            <w:i/>
            <w:rStyle w:val="Hyperlink"/>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pStyle w:val="Compact"/>
        <w:numPr>
          <w:numId w:val="1021"/>
          <w:ilvl w:val="0"/>
        </w:numPr>
      </w:pPr>
      <w:hyperlink r:id="rId159">
        <w:r>
          <w:rPr>
            <w:i/>
            <w:rStyle w:val="Hyperlink"/>
          </w:rPr>
          <w:t xml:space="preserve">Hicks v. Casablanca Records,</w:t>
        </w:r>
      </w:hyperlink>
      <w:r>
        <w:t xml:space="preserve"> </w:t>
      </w:r>
      <w:r>
        <w:t xml:space="preserve">464 F.Supp. 426 (SDNY 1978).</w:t>
      </w:r>
    </w:p>
    <w:p>
      <w:pPr>
        <w:pStyle w:val="Compact"/>
        <w:numPr>
          <w:numId w:val="1021"/>
          <w:ilvl w:val="0"/>
        </w:numPr>
      </w:pPr>
      <w:hyperlink r:id="rId160">
        <w:r>
          <w:rPr>
            <w:i/>
            <w:rStyle w:val="Hyperlink"/>
          </w:rPr>
          <w:t xml:space="preserve">Keenan v. Superior Court Los Angeles County,</w:t>
        </w:r>
      </w:hyperlink>
      <w:r>
        <w:t xml:space="preserve"> </w:t>
      </w:r>
      <w:r>
        <w:t xml:space="preserve">40 P.3d 718 (2002).</w:t>
      </w:r>
      <w:r>
        <w:t xml:space="preserve"> </w:t>
      </w:r>
      <w:hyperlink r:id="rId161">
        <w:r>
          <w:rPr>
            <w:rStyle w:val="Hyperlink"/>
          </w:rPr>
          <w:t xml:space="preserve">Reporters Committee For Freedom of the Press</w:t>
        </w:r>
      </w:hyperlink>
      <w:r>
        <w:t xml:space="preserve">.</w:t>
      </w:r>
    </w:p>
    <w:p>
      <w:pPr>
        <w:pStyle w:val="Heading4"/>
      </w:pPr>
      <w:bookmarkStart w:id="162" w:name="totally-optional-readings-viewings"/>
      <w:bookmarkEnd w:id="162"/>
      <w:r>
        <w:t xml:space="preserve">Totally Optional Readings &amp; Viewings</w:t>
      </w:r>
    </w:p>
    <w:p>
      <w:pPr>
        <w:pStyle w:val="Compact"/>
        <w:numPr>
          <w:numId w:val="1022"/>
          <w:ilvl w:val="0"/>
        </w:numPr>
      </w:pPr>
      <w:hyperlink r:id="rId163">
        <w:r>
          <w:rPr>
            <w:rStyle w:val="Hyperlink"/>
          </w:rPr>
          <w:t xml:space="preserve">'Call of Duty': Can Rudy Giuliani Beat Manuel Noriega, the Three Stooges and Gwen Stefani?</w:t>
        </w:r>
      </w:hyperlink>
    </w:p>
    <w:p>
      <w:pPr>
        <w:pStyle w:val="Compact"/>
        <w:numPr>
          <w:numId w:val="1022"/>
          <w:ilvl w:val="0"/>
        </w:numPr>
      </w:pPr>
      <w:hyperlink r:id="rId164">
        <w:r>
          <w:rPr>
            <w:rStyle w:val="Hyperlink"/>
          </w:rPr>
          <w:t xml:space="preserve">Katherine Heigl Sues Duane Reed Drug Stores Over Photo</w:t>
        </w:r>
      </w:hyperlink>
    </w:p>
    <w:p>
      <w:pPr>
        <w:pStyle w:val="Compact"/>
        <w:numPr>
          <w:numId w:val="1022"/>
          <w:ilvl w:val="0"/>
        </w:numPr>
      </w:pPr>
      <w:hyperlink r:id="rId165">
        <w:r>
          <w:rPr>
            <w:rStyle w:val="Hyperlink"/>
          </w:rPr>
          <w:t xml:space="preserve">Katherine Heigl Ends Lawsuit Over Duane Reade Tweet (Exclusive)</w:t>
        </w:r>
      </w:hyperlink>
    </w:p>
    <w:p>
      <w:pPr>
        <w:pStyle w:val="Compact"/>
        <w:numPr>
          <w:numId w:val="1022"/>
          <w:ilvl w:val="0"/>
        </w:numPr>
      </w:pPr>
      <w:hyperlink r:id="rId166">
        <w:r>
          <w:rPr>
            <w:rStyle w:val="Hyperlink"/>
          </w:rPr>
          <w:t xml:space="preserve">Lindsay Lohan is suing the makers of Grand Theft Auto V</w:t>
        </w:r>
      </w:hyperlink>
    </w:p>
    <w:p>
      <w:pPr>
        <w:pStyle w:val="Compact"/>
        <w:numPr>
          <w:numId w:val="1022"/>
          <w:ilvl w:val="0"/>
        </w:numPr>
      </w:pPr>
      <w:hyperlink r:id="rId167">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68">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f64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9767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7a1a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6bda04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46"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54" Target="http://lawschool.westlaw.com/shared/westlawRedirect.aspx?task=find&amp;cite=15f3d432&amp;appflag=67.12" TargetMode="External" /><Relationship Type="http://schemas.openxmlformats.org/officeDocument/2006/relationships/hyperlink" Id="rId156" Target="http://lawschool.westlaw.com/shared/westlawRedirect.aspx?task=find&amp;cite=21+p3d+797&amp;appflag=67.12" TargetMode="External" /><Relationship Type="http://schemas.openxmlformats.org/officeDocument/2006/relationships/hyperlink" Id="rId160" Target="http://lawschool.westlaw.com/shared/westlawRedirect.aspx?task=find&amp;cite=27+Cal.4th+413&amp;appflag=67.12" TargetMode="External" /><Relationship Type="http://schemas.openxmlformats.org/officeDocument/2006/relationships/hyperlink" Id="rId145" Target="http://lawschool.westlaw.com/shared/westlawRedirect.aspx?task=find&amp;cite=329+F.3d+437&amp;appflag=67.12" TargetMode="External" /><Relationship Type="http://schemas.openxmlformats.org/officeDocument/2006/relationships/hyperlink" Id="rId149" Target="http://lawschool.westlaw.com/shared/westlawRedirect.aspx?task=find&amp;cite=332f3d915&amp;appflag=67.12" TargetMode="External" /><Relationship Type="http://schemas.openxmlformats.org/officeDocument/2006/relationships/hyperlink" Id="rId158" Target="http://lawschool.westlaw.com/shared/westlawRedirect.aspx?task=find&amp;cite=433us562&amp;appflag=67.12" TargetMode="External" /><Relationship Type="http://schemas.openxmlformats.org/officeDocument/2006/relationships/hyperlink" Id="rId159"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8" Target="http://scholar.google.com/scholar_case?case=16551870099624462955" TargetMode="External" /><Relationship Type="http://schemas.openxmlformats.org/officeDocument/2006/relationships/hyperlink" Id="rId137" Target="http://scholar.google.com/scholar_case?case=16686162998040575773" TargetMode="External" /><Relationship Type="http://schemas.openxmlformats.org/officeDocument/2006/relationships/hyperlink" Id="rId139"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0"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6"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66"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5"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68" Target="http://www.hollywoodreporter.com/thr-esq/bing-crosbys-first-wife-denied-675755" TargetMode="External" /><Relationship Type="http://schemas.openxmlformats.org/officeDocument/2006/relationships/hyperlink" Id="rId163" Target="http://www.hollywoodreporter.com/thr-esq/call-duty-can-rudy-giuliani-734737" TargetMode="External" /><Relationship Type="http://schemas.openxmlformats.org/officeDocument/2006/relationships/hyperlink" Id="rId167" Target="http://www.hollywoodreporter.com/thr-esq/james-franco-sued-violating-film-699013" TargetMode="External" /><Relationship Type="http://schemas.openxmlformats.org/officeDocument/2006/relationships/hyperlink" Id="rId16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57" Target="http://www.jurisnotes.com/IP/articles/acriticalexam.htm" TargetMode="External" /><Relationship Type="http://schemas.openxmlformats.org/officeDocument/2006/relationships/hyperlink" Id="rId161" Target="http://www.rcfp.org/browse-media-law-resources/news/high-court-strikes-down-state-son-sam-law" TargetMode="External" /><Relationship Type="http://schemas.openxmlformats.org/officeDocument/2006/relationships/hyperlink" Id="rId150" Target="http://www.tjcenter.org/ArtOnTrial/trademark.html" TargetMode="External" /><Relationship Type="http://schemas.openxmlformats.org/officeDocument/2006/relationships/hyperlink" Id="rId164"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46"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54" Target="http://lawschool.westlaw.com/shared/westlawRedirect.aspx?task=find&amp;cite=15f3d432&amp;appflag=67.12" TargetMode="External" /><Relationship Type="http://schemas.openxmlformats.org/officeDocument/2006/relationships/hyperlink" Id="rId156" Target="http://lawschool.westlaw.com/shared/westlawRedirect.aspx?task=find&amp;cite=21+p3d+797&amp;appflag=67.12" TargetMode="External" /><Relationship Type="http://schemas.openxmlformats.org/officeDocument/2006/relationships/hyperlink" Id="rId160" Target="http://lawschool.westlaw.com/shared/westlawRedirect.aspx?task=find&amp;cite=27+Cal.4th+413&amp;appflag=67.12" TargetMode="External" /><Relationship Type="http://schemas.openxmlformats.org/officeDocument/2006/relationships/hyperlink" Id="rId145" Target="http://lawschool.westlaw.com/shared/westlawRedirect.aspx?task=find&amp;cite=329+F.3d+437&amp;appflag=67.12" TargetMode="External" /><Relationship Type="http://schemas.openxmlformats.org/officeDocument/2006/relationships/hyperlink" Id="rId149" Target="http://lawschool.westlaw.com/shared/westlawRedirect.aspx?task=find&amp;cite=332f3d915&amp;appflag=67.12" TargetMode="External" /><Relationship Type="http://schemas.openxmlformats.org/officeDocument/2006/relationships/hyperlink" Id="rId158" Target="http://lawschool.westlaw.com/shared/westlawRedirect.aspx?task=find&amp;cite=433us562&amp;appflag=67.12" TargetMode="External" /><Relationship Type="http://schemas.openxmlformats.org/officeDocument/2006/relationships/hyperlink" Id="rId159"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8" Target="http://scholar.google.com/scholar_case?case=16551870099624462955" TargetMode="External" /><Relationship Type="http://schemas.openxmlformats.org/officeDocument/2006/relationships/hyperlink" Id="rId137" Target="http://scholar.google.com/scholar_case?case=16686162998040575773" TargetMode="External" /><Relationship Type="http://schemas.openxmlformats.org/officeDocument/2006/relationships/hyperlink" Id="rId139"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0"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6"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66"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5"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68" Target="http://www.hollywoodreporter.com/thr-esq/bing-crosbys-first-wife-denied-675755" TargetMode="External" /><Relationship Type="http://schemas.openxmlformats.org/officeDocument/2006/relationships/hyperlink" Id="rId163" Target="http://www.hollywoodreporter.com/thr-esq/call-duty-can-rudy-giuliani-734737" TargetMode="External" /><Relationship Type="http://schemas.openxmlformats.org/officeDocument/2006/relationships/hyperlink" Id="rId167" Target="http://www.hollywoodreporter.com/thr-esq/james-franco-sued-violating-film-699013" TargetMode="External" /><Relationship Type="http://schemas.openxmlformats.org/officeDocument/2006/relationships/hyperlink" Id="rId16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57" Target="http://www.jurisnotes.com/IP/articles/acriticalexam.htm" TargetMode="External" /><Relationship Type="http://schemas.openxmlformats.org/officeDocument/2006/relationships/hyperlink" Id="rId161" Target="http://www.rcfp.org/browse-media-law-resources/news/high-court-strikes-down-state-son-sam-law" TargetMode="External" /><Relationship Type="http://schemas.openxmlformats.org/officeDocument/2006/relationships/hyperlink" Id="rId150" Target="http://www.tjcenter.org/ArtOnTrial/trademark.html" TargetMode="External" /><Relationship Type="http://schemas.openxmlformats.org/officeDocument/2006/relationships/hyperlink" Id="rId164"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