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right-of-publicity"/>
      <w:bookmarkEnd w:id="23"/>
      <w:r>
        <w:t xml:space="preserve">Right of Publicity</w:t>
      </w:r>
    </w:p>
    <w:p>
      <w:pPr>
        <w:pStyle w:val="Heading6"/>
      </w:pPr>
      <w:bookmarkStart w:id="24" w:name="appropriationcelebritypublicity-rights"/>
      <w:bookmarkEnd w:id="24"/>
      <w:r>
        <w:t xml:space="preserve">Appropriation/Celebrity/Publicity Rights</w:t>
      </w:r>
    </w:p>
    <w:p>
      <w:pPr>
        <w:pStyle w:val="BlockQuote"/>
      </w:pPr>
      <w:r>
        <w:t xml:space="preserve">One who appropriates to his own use or benefit the name or likeness of another is subject to liability to the other for invasion of his privacy.</w:t>
      </w:r>
    </w:p>
    <w:p>
      <w:pPr>
        <w:pStyle w:val="BlockQuote"/>
      </w:pPr>
      <w:hyperlink r:id="rId25">
        <w:r>
          <w:rPr>
            <w:rStyle w:val="Link"/>
          </w:rPr>
          <w:t xml:space="preserve">Restatement 2nd of Torts § 652C: Appropriation of Name or Likeness</w:t>
        </w:r>
      </w:hyperlink>
    </w:p>
    <w:p>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It is generally considered a property right as opposed to a personal right, and as such, the validity of the right of publicity can survive the death of the individual (to varying degrees depending on the jurisdiction).</w:t>
      </w:r>
    </w:p>
    <w:p>
      <w:pPr>
        <w:pStyle w:val="BlockQuote"/>
      </w:pPr>
      <w:r>
        <w:t xml:space="preserve">Personality rights are generally considered to consist of two types of rights:</w:t>
      </w:r>
    </w:p>
    <w:p>
      <w:pPr>
        <w:pStyle w:val="Compact"/>
        <w:pStyle w:val="BlockQuote"/>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Quote"/>
        <w:numPr>
          <w:numId w:val="1001"/>
          <w:ilvl w:val="0"/>
        </w:numPr>
      </w:pPr>
      <w:r>
        <w:t xml:space="preserve">The right to privacy, or the right to be left alone and not have one's personality represented publicly without permission.</w:t>
      </w:r>
    </w:p>
    <w:p>
      <w:hyperlink r:id="rId26">
        <w:r>
          <w:rPr>
            <w:rStyle w:val="Link"/>
          </w:rPr>
          <w:t xml:space="preserve">Wikipedia: Personality Rights</w:t>
        </w:r>
      </w:hyperlink>
    </w:p>
    <w:p>
      <w:pPr>
        <w:pStyle w:val="Heading3"/>
      </w:pPr>
      <w:bookmarkStart w:id="27" w:name="early-right-of-publicity-cases"/>
      <w:bookmarkEnd w:id="27"/>
      <w:r>
        <w:t xml:space="preserve">Early "right of publicity" cases</w:t>
      </w:r>
    </w:p>
    <w:p>
      <w:r>
        <w:t xml:space="preserve">Early right of publicity cases followed the lead of the</w:t>
      </w:r>
      <w:r>
        <w:t xml:space="preserve"> </w:t>
      </w:r>
      <w:hyperlink r:id="rId28">
        <w:r>
          <w:rPr>
            <w:rStyle w:val="Link"/>
          </w:rPr>
          <w:t xml:space="preserve">Brandeis "Right Of Privacy" article</w:t>
        </w:r>
      </w:hyperlink>
      <w:r>
        <w:t xml:space="preserve">, which spoke of compensating "injury to the feelings." For instance, in</w:t>
      </w:r>
      <w:r>
        <w:t xml:space="preserve"> </w:t>
      </w:r>
      <w:hyperlink r:id="rId29">
        <w:r>
          <w:rPr>
            <w:i/>
            <w:rStyle w:val="Link"/>
          </w:rPr>
          <w:t xml:space="preserve">Roberson v. Rochester Folding Box Company,</w:t>
        </w:r>
      </w:hyperlink>
      <w:r>
        <w:t xml:space="preserve"> </w:t>
      </w:r>
      <w:r>
        <w:t xml:space="preserve">a 1902 New York case, Abigail Roberson’s picture was reproduced on 25,000 copies of a poster advertising flour without her knowledge. She sued the flour company claiming, not that she should have been paid for the use of her image, but that use of the image without her permission had injured her:</w:t>
      </w:r>
    </w:p>
    <w:p>
      <w:pPr>
        <w:pStyle w:val="BlockQuote"/>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r>
        <w:t xml:space="preserve">The court went on to observe that this was a brand new cause of action, and that it was different than other torts:</w:t>
      </w:r>
    </w:p>
    <w:p>
      <w:pPr>
        <w:pStyle w:val="BlockQuote"/>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r>
        <w:t xml:space="preserve">When Roberson lost her case because the New York Court of Appeals held that the facts of her case stated no known cause of action, the ensuing public outrage led the New York state legislature to create the state's first right of privacy statute.</w:t>
      </w:r>
    </w:p>
    <w:p>
      <w:r>
        <w:t xml:space="preserve">Likewise, three years later, in</w:t>
      </w:r>
      <w:r>
        <w:t xml:space="preserve"> </w:t>
      </w:r>
      <w:hyperlink r:id="rId30">
        <w:r>
          <w:rPr>
            <w:i/>
            <w:rStyle w:val="Link"/>
          </w:rPr>
          <w:t xml:space="preserve">Pavesich v. New England Mutual Life Insurance,</w:t>
        </w:r>
      </w:hyperlink>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 Georgia became the first state to recognize the right of privacy in common law when they awarded Pavesich $25,000 in personal damages due to the invasion.</w:t>
      </w:r>
    </w:p>
    <w:p>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r>
        <w:t xml:space="preserve">The Georgia Supreme Court held:</w:t>
      </w:r>
    </w:p>
    <w:p>
      <w:pPr>
        <w:pStyle w:val="BlockQuote"/>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r>
        <w:t xml:space="preserve">In</w:t>
      </w:r>
      <w:r>
        <w:t xml:space="preserve"> </w:t>
      </w:r>
      <w:hyperlink r:id="rId31">
        <w:r>
          <w:rPr>
            <w:i/>
            <w:rStyle w:val="Link"/>
          </w:rPr>
          <w:t xml:space="preserve">Haelan Labs v. Topps Chewing Gum</w:t>
        </w:r>
        <w:r>
          <w:rPr>
            <w:rStyle w:val="Link"/>
          </w:rPr>
          <w:t xml:space="preserve"> </w:t>
        </w:r>
        <w:r>
          <w:rPr>
            <w:rStyle w:val="Link"/>
          </w:rPr>
          <w:t xml:space="preserve">(2d Cir. 1953</w:t>
        </w:r>
      </w:hyperlink>
      <w:r>
        <w:t xml:space="preserve">, the Second Circuit officially named the new right:</w:t>
      </w:r>
    </w:p>
    <w:p>
      <w:pPr>
        <w:pStyle w:val="BlockQuote"/>
      </w:pPr>
      <w:r>
        <w:t xml:space="preserve">This right might be called a "right of publicity." For it is common knowledge that many prominent persons (especially actors and ballplayers), far from having their feelings bruised through public exposure of their likenesses, would feel sorely deprived if they no longer received money for authorizing advertisements, popularizing their countenances, displayed in mewspapers, magazines, busses, trains and subways. This right of publicity would usually yield them no money unless it could be made the subject of an exclusive grant which barred any other advertizer from using their pictures.</w:t>
      </w:r>
    </w:p>
    <w:p>
      <w:r>
        <w:t xml:space="preserve">The</w:t>
      </w:r>
      <w:r>
        <w:t xml:space="preserve"> </w:t>
      </w:r>
      <w:r>
        <w:rPr>
          <w:i/>
        </w:rPr>
        <w:t xml:space="preserve">Haelan</w:t>
      </w:r>
      <w:r>
        <w:t xml:space="preserve"> </w:t>
      </w:r>
      <w:r>
        <w:t xml:space="preserve">case and a famous law review article by</w:t>
      </w:r>
      <w:r>
        <w:t xml:space="preserve"> </w:t>
      </w:r>
      <w:hyperlink r:id="rId32">
        <w:r>
          <w:rPr>
            <w:rStyle w:val="Link"/>
          </w:rPr>
          <w:t xml:space="preserve">Melville B. Nimmer,</w:t>
        </w:r>
        <w:r>
          <w:rPr>
            <w:rStyle w:val="Link"/>
          </w:rPr>
          <w:t xml:space="preserve"> </w:t>
        </w:r>
        <w:r>
          <w:rPr>
            <w:i/>
            <w:rStyle w:val="Link"/>
          </w:rPr>
          <w:t xml:space="preserve">The Right of Publicity</w:t>
        </w:r>
      </w:hyperlink>
      <w:r>
        <w:t xml:space="preserve"> </w:t>
      </w:r>
      <w:r>
        <w:t xml:space="preserve">(1954), both took viewed "right of publicity" as akin to a property interest, rather than a privacy tort.</w:t>
      </w:r>
    </w:p>
    <w:p>
      <w:pPr>
        <w:pStyle w:val="Heading3"/>
      </w:pPr>
      <w:bookmarkStart w:id="33" w:name="eugene-volokh"/>
      <w:bookmarkEnd w:id="33"/>
      <w:r>
        <w:t xml:space="preserve">Eugene Volokh</w:t>
      </w:r>
    </w:p>
    <w:p>
      <w:pPr>
        <w:pStyle w:val="Heading6"/>
      </w:pPr>
      <w:bookmarkStart w:id="34" w:name="freedom-of-speech-and-the-right-of-publicity"/>
      <w:bookmarkEnd w:id="34"/>
      <w:r>
        <w:t xml:space="preserve">FREEDOM OF SPEECH AND THE RIGHT OF PUBLICITY</w:t>
      </w:r>
    </w:p>
    <w:p>
      <w:pPr>
        <w:pStyle w:val="BlockQuote"/>
      </w:pPr>
      <w:r>
        <w:t xml:space="preserve">The right of publicity, in the words of the Restatement (Third) of Unfair Competition section 46,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Quote"/>
      </w:pPr>
      <w:r>
        <w:t xml:space="preserve">Under standard First Amendment doctrine, this definition can't be accepted at face value—and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Quote"/>
      </w:pPr>
      <w:r>
        <w:t xml:space="preserve">Eugene Volokh,</w:t>
      </w:r>
      <w:r>
        <w:t xml:space="preserve"> </w:t>
      </w:r>
      <w:r>
        <w:rPr>
          <w:i/>
        </w:rPr>
        <w:t xml:space="preserve">Freedom of Speech and the Right of Publicity</w:t>
      </w:r>
      <w:r>
        <w:t xml:space="preserve">, Houston Law Review 40 (2003)</w:t>
      </w:r>
    </w:p>
    <w:p>
      <w:pPr>
        <w:pStyle w:val="Heading2"/>
      </w:pPr>
      <w:bookmarkStart w:id="35" w:name="major-right-of-publicity-cases"/>
      <w:bookmarkEnd w:id="35"/>
      <w:r>
        <w:t xml:space="preserve">Major Right Of Publicity Cases</w:t>
      </w:r>
    </w:p>
    <w:p>
      <w:pPr>
        <w:pStyle w:val="Heading3"/>
      </w:pPr>
      <w:bookmarkStart w:id="36" w:name="ml-king-jr.-center-v.-american-heritage-products"/>
      <w:bookmarkEnd w:id="36"/>
      <w:r>
        <w:rPr>
          <w:i/>
        </w:rPr>
        <w:t xml:space="preserve">ML King Jr. Center v. American Heritage Products</w:t>
      </w:r>
    </w:p>
    <w:p>
      <w:pPr>
        <w:pStyle w:val="Heading6"/>
      </w:pPr>
      <w:bookmarkStart w:id="37" w:name="georgia-supreme-court-1982"/>
      <w:bookmarkEnd w:id="37"/>
      <w:r>
        <w:t xml:space="preserve">Georgia Supreme Court (1982)</w:t>
      </w:r>
    </w:p>
    <w:p>
      <w:pPr>
        <w:pStyle w:val="Compact"/>
        <w:numPr>
          <w:numId w:val="1002"/>
          <w:ilvl w:val="0"/>
        </w:numPr>
      </w:pPr>
      <w:hyperlink r:id="rId38">
        <w:r>
          <w:rPr>
            <w:rStyle w:val="Link"/>
          </w:rPr>
          <w:t xml:space="preserve">case on Google Scholar</w:t>
        </w:r>
      </w:hyperlink>
    </w:p>
    <w:p>
      <w:pPr>
        <w:pStyle w:val="Compact"/>
        <w:numPr>
          <w:numId w:val="1002"/>
          <w:ilvl w:val="0"/>
        </w:numPr>
      </w:pPr>
      <w:hyperlink r:id="rId39">
        <w:r>
          <w:rPr>
            <w:rStyle w:val="Link"/>
          </w:rPr>
          <w:t xml:space="preserve">case on Westlaw</w:t>
        </w:r>
      </w:hyperlink>
    </w:p>
    <w:p>
      <w:pPr>
        <w:pStyle w:val="Compact"/>
        <w:numPr>
          <w:numId w:val="1002"/>
          <w:ilvl w:val="0"/>
        </w:numPr>
      </w:pPr>
      <w:hyperlink r:id="rId40">
        <w:r>
          <w:rPr>
            <w:rStyle w:val="Link"/>
          </w:rPr>
          <w:t xml:space="preserve">Casebrief</w:t>
        </w:r>
      </w:hyperlink>
      <w:r>
        <w:t xml:space="preserve">.</w:t>
      </w:r>
    </w:p>
    <w:p>
      <w:r>
        <w:t xml:space="preserve">HILL, Presiding Justice.</w:t>
      </w:r>
    </w:p>
    <w:p>
      <w:r>
        <w:t xml:space="preserve">[American Heritage Products and its sole proprietor James Bolen developed the concept of marketing a plastic bust of Dr. Martin Luther King, Jr. Although Bolen sought the endorsement and participation of the Martin Luther King, Jr. Center for Social Change, Inc., in the marketing of the bust, the Center refused Bolen's offer. Bolen pursued the idea, nevertheless, hiring an artist to prepare a mold and an agent to handle the promotion of the product. Defendant took out two half-page advertisements in the November and December 1980 issues of Ebony magazine, which purported to offer the bust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Center. The advertisement also offered "free" with the purchase of the bust a booklet about the life of Dr. King entitled "A Tribute to Dr. Martin Luther King, Jr."]</w:t>
      </w:r>
    </w:p>
    <w:p>
      <w:r>
        <w:t xml:space="preserve">[Instead of accepting the monies offered by Bolen, the Martin Luther King, Jr. Center for Social Change (the Center), Coretta Scott King, as administratrix of Dr. King's estate, and Motown Record Corporation, the assignee of the rights to several of Dr. King's copyrighted speeches filed suit against Bolen and American Heritage Products.]</w:t>
      </w:r>
    </w:p>
    <w:p>
      <w:r>
        <w:t xml:space="preserve">The right of publicity may be defined as a celebrity's right to the exclusive use of his or her name and likeness.</w:t>
      </w:r>
      <w:r>
        <w:t xml:space="preserve"> </w:t>
      </w:r>
      <w:hyperlink r:id="rId41">
        <w:r>
          <w:rPr>
            <w:i/>
            <w:rStyle w:val="Link"/>
          </w:rPr>
          <w:t xml:space="preserve">Price v. Hal Roach Studios,</w:t>
        </w:r>
        <w:r>
          <w:rPr>
            <w:rStyle w:val="Link"/>
          </w:rPr>
          <w:t xml:space="preserve"> </w:t>
        </w:r>
        <w:r>
          <w:rPr>
            <w:rStyle w:val="Link"/>
          </w:rPr>
          <w:t xml:space="preserve">(S.D.N.Y. 1975)</w:t>
        </w:r>
      </w:hyperlink>
      <w:r>
        <w:t xml:space="preserve">;</w:t>
      </w:r>
      <w:r>
        <w:t xml:space="preserve"> </w:t>
      </w:r>
      <w:hyperlink r:id="rId42">
        <w:r>
          <w:rPr>
            <w:i/>
            <w:rStyle w:val="Link"/>
          </w:rPr>
          <w:t xml:space="preserve">Estate of Presley v. Russen</w:t>
        </w:r>
        <w:r>
          <w:rPr>
            <w:rStyle w:val="Link"/>
          </w:rPr>
          <w:t xml:space="preserve">, (D.N.J. 1981),</w:t>
        </w:r>
      </w:hyperlink>
      <w:r>
        <w:t xml:space="preserve"> </w:t>
      </w:r>
      <w:r>
        <w:t xml:space="preserve">and cases cited.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43" w:name="is-the-right-of-publicity-recognized-in-georgia-as-a-right-distinct-from-the-right-of-privacy"/>
      <w:bookmarkEnd w:id="43"/>
      <w:r>
        <w:t xml:space="preserve">1. Is the "right of publicity" recognized in Georgia as a right distinct from the right of privacy?</w:t>
      </w:r>
    </w:p>
    <w:p>
      <w:r>
        <w:t xml:space="preserve">Georgia has long recognized the right of privacy. Following denial of the existence of the right of privacy in a controversial decision by the New York Court of Appeals in</w:t>
      </w:r>
      <w:r>
        <w:t xml:space="preserve"> </w:t>
      </w:r>
      <w:hyperlink r:id="rId29">
        <w:r>
          <w:rPr>
            <w:i/>
            <w:rStyle w:val="Link"/>
          </w:rPr>
          <w:t xml:space="preserve">Roberson v. Rochester Folding Box Co.</w:t>
        </w:r>
        <w:r>
          <w:rPr>
            <w:rStyle w:val="Link"/>
          </w:rPr>
          <w:t xml:space="preserve">, (1902)</w:t>
        </w:r>
      </w:hyperlink>
      <w:r>
        <w:t xml:space="preserve">, the Georgia Supreme Court became the first such court to recognize the right of privacy in</w:t>
      </w:r>
      <w:r>
        <w:t xml:space="preserve"> </w:t>
      </w:r>
      <w:hyperlink r:id="rId44">
        <w:r>
          <w:rPr>
            <w:i/>
            <w:rStyle w:val="Link"/>
          </w:rPr>
          <w:t xml:space="preserve">Pavesich v. New England Life Ins. Co.,</w:t>
        </w:r>
        <w:r>
          <w:rPr>
            <w:rStyle w:val="Link"/>
          </w:rPr>
          <w:t xml:space="preserve"> </w:t>
        </w:r>
        <w:r>
          <w:rPr>
            <w:rStyle w:val="Link"/>
          </w:rPr>
          <w:t xml:space="preserve">(1905)</w:t>
        </w:r>
      </w:hyperlink>
      <w:r>
        <w:t xml:space="preserve">.</w:t>
      </w:r>
    </w:p>
    <w:p>
      <w:r>
        <w:t xml:space="preserve">In</w:t>
      </w:r>
      <w:r>
        <w:t xml:space="preserve"> </w:t>
      </w:r>
      <w:hyperlink r:id="rId44">
        <w:r>
          <w:rPr>
            <w:i/>
            <w:rStyle w:val="Link"/>
          </w:rPr>
          <w:t xml:space="preserve">Pavesich v. New England Life Ins. Co.,</w:t>
        </w:r>
        <w:r>
          <w:rPr>
            <w:rStyle w:val="Link"/>
          </w:rPr>
          <w:t xml:space="preserve"> </w:t>
        </w:r>
        <w:r>
          <w:rPr>
            <w:rStyle w:val="Link"/>
          </w:rPr>
          <w:t xml:space="preserve">supra</w:t>
        </w:r>
      </w:hyperlink>
      <w:r>
        <w:t xml:space="preserve">, the picture of an artist was used without his consent in a newspaper advertisement of the insurance company. Analyzing the right of privacy, this court held: "The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 If the right to privacy had not been recognized, advertisers could use photographs of private citizens to promote sales and the professional modeling business would not be what it is today.</w:t>
      </w:r>
    </w:p>
    <w:p>
      <w:r>
        <w:t xml:space="preserve">In the course of its opinion the</w:t>
      </w:r>
      <w:r>
        <w:t xml:space="preserve"> </w:t>
      </w:r>
      <w:r>
        <w:rPr>
          <w:i/>
        </w:rPr>
        <w:t xml:space="preserve">Pavesich</w:t>
      </w:r>
      <w:r>
        <w:t xml:space="preserve"> </w:t>
      </w:r>
      <w:r>
        <w:t xml:space="preserve">court said several things pertinent here. It noted that the commentators on ancient law recognized the right of personal liberty, including the right to exhibit oneself before the public at proper times and places and in a proper manner. As a corollary, the court recognized that the right of personal liberty included the right of a person not to be exhibited before the public, saying: "The right to withdraw from the public gaze at such times as a person may see fit, when his presence in public is not demanded by any rule of law is also embraced within the right of personal liberty. Publicity in one instance and privacy in the other is each guaranteed. If personal liberty embraces the</w:t>
      </w:r>
      <w:r>
        <w:t xml:space="preserve"> </w:t>
      </w:r>
      <w:r>
        <w:rPr>
          <w:i/>
        </w:rPr>
        <w:t xml:space="preserve">right of publicity,</w:t>
      </w:r>
      <w:r>
        <w:t xml:space="preserve"> </w:t>
      </w:r>
      <w:r>
        <w:t xml:space="preserve">it no less embraces the correlative right of privacy; and this is no new idea in Georgia law." (Emphasis supplied.)</w:t>
      </w:r>
      <w:r>
        <w:t xml:space="preserve"> </w:t>
      </w:r>
      <w:hyperlink r:id="rId44">
        <w:r>
          <w:rPr>
            <w:i/>
            <w:rStyle w:val="Link"/>
          </w:rPr>
          <w:t xml:space="preserve">Pavesich</w:t>
        </w:r>
      </w:hyperlink>
      <w:r>
        <w:t xml:space="preserve">.</w:t>
      </w:r>
    </w:p>
    <w:p>
      <w:r>
        <w:t xml:space="preserve">Recognizing the possibility of a conflict between the right of privacy and the freedoms of speech and press, this court said: "There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44">
        <w:r>
          <w:rPr>
            <w:i/>
            <w:rStyle w:val="Link"/>
          </w:rPr>
          <w:t xml:space="preserve">Id.</w:t>
        </w:r>
      </w:hyperlink>
      <w:r>
        <w:t xml:space="preserve">. The defendants in the case now before us make no claim under these freedoms and we find no violation thereof.</w:t>
      </w:r>
    </w:p>
    <w:p>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 "While the right of privacy is personal, and may die with the person, we do not desire to be understood as assenting to the proposition that the relatives of the deceased can not, in a proper case, protect the memory of their kinsman, not only from defamation, but also from an invasion into the affairs of his private life after his death. This question is not now involved, but we do not wish anything said to be understood as committing us in any way to the doctrine that against the consent of relatives the private affairs of a deceased person may be published and his picture or statue exhibited."</w:t>
      </w:r>
      <w:r>
        <w:t xml:space="preserve"> </w:t>
      </w:r>
      <w:hyperlink r:id="rId44">
        <w:r>
          <w:rPr>
            <w:i/>
            <w:rStyle w:val="Link"/>
          </w:rPr>
          <w:t xml:space="preserve">Id.</w:t>
        </w:r>
      </w:hyperlink>
      <w:r>
        <w:t xml:space="preserve">.</w:t>
      </w:r>
    </w:p>
    <w:p>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44">
        <w:r>
          <w:rPr>
            <w:i/>
            <w:rStyle w:val="Link"/>
          </w:rPr>
          <w:t xml:space="preserve">Id.</w:t>
        </w:r>
      </w:hyperlink>
      <w:r>
        <w:t xml:space="preserve">. Thus, although recognizing the right of privacy, the</w:t>
      </w:r>
      <w:r>
        <w:t xml:space="preserve"> </w:t>
      </w:r>
      <w:r>
        <w:rPr>
          <w:i/>
        </w:rPr>
        <w:t xml:space="preserve">Pavesich</w:t>
      </w:r>
      <w:r>
        <w:t xml:space="preserve"> </w:t>
      </w:r>
      <w:r>
        <w:t xml:space="preserve">court left open the question facing us involving the likeness of a public figure.…</w:t>
      </w:r>
    </w:p>
    <w:p>
      <w:r>
        <w:t xml:space="preserve">In</w:t>
      </w:r>
      <w:r>
        <w:t xml:space="preserve"> </w:t>
      </w:r>
      <w:hyperlink r:id="rId45">
        <w:r>
          <w:rPr>
            <w:i/>
            <w:rStyle w:val="Link"/>
          </w:rPr>
          <w:t xml:space="preserve">Palmer v. Schonhorn Enterprises,</w:t>
        </w:r>
        <w:r>
          <w:rPr>
            <w:rStyle w:val="Link"/>
          </w:rPr>
          <w:t xml:space="preserve"> </w:t>
        </w:r>
        <w:r>
          <w:rPr>
            <w:rStyle w:val="Link"/>
          </w:rPr>
          <w:t xml:space="preserve">(N.J.Sup.Ct. 1967),</w:t>
        </w:r>
      </w:hyperlink>
      <w:r>
        <w:t xml:space="preserve"> </w:t>
      </w:r>
      <w:r>
        <w:t xml:space="preserve">Arnold Palmer, Gary Player, Doug Sanders and Jack Nicklaus obtained summary judgment against the manufacturer of a golf game which used the golfers' names and short biographies without their consent. Although written as a right of privacy case, much of what was said is applicable to the right of publicity. In its opinion the court said (</w:t>
      </w:r>
      <w:hyperlink r:id="rId45">
        <w:r>
          <w:rPr>
            <w:i/>
            <w:rStyle w:val="Link"/>
          </w:rPr>
          <w:t xml:space="preserve">Id.</w:t>
        </w:r>
      </w:hyperlink>
      <w:r>
        <w:t xml:space="preserve">):</w:t>
      </w:r>
    </w:p>
    <w:p>
      <w:pPr>
        <w:pStyle w:val="BlockQuote"/>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Quote"/>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 or accomplishments merely because the owner's accomplishments have been highly publicized."</w:t>
      </w:r>
    </w:p>
    <w:p>
      <w:r>
        <w:t xml:space="preserve">In</w:t>
      </w:r>
      <w:r>
        <w:t xml:space="preserve"> </w:t>
      </w:r>
      <w:hyperlink r:id="rId46">
        <w:r>
          <w:rPr>
            <w:i/>
            <w:rStyle w:val="Link"/>
          </w:rPr>
          <w:t xml:space="preserve">Haelan Laboratories,</w:t>
        </w:r>
        <w:r>
          <w:rPr>
            <w:rStyle w:val="Link"/>
          </w:rPr>
          <w:t xml:space="preserve"> </w:t>
        </w:r>
        <w:r>
          <w:rPr>
            <w:rStyle w:val="Link"/>
          </w:rPr>
          <w:t xml:space="preserve">supra</w:t>
        </w:r>
      </w:hyperlink>
      <w:r>
        <w:t xml:space="preserve">, the court was concerned with whether a celebrity has the right to the exclusive use of his or her name and likeness. In</w:t>
      </w:r>
      <w:r>
        <w:t xml:space="preserve"> </w:t>
      </w:r>
      <w:hyperlink r:id="rId45">
        <w:r>
          <w:rPr>
            <w:i/>
            <w:rStyle w:val="Link"/>
          </w:rPr>
          <w:t xml:space="preserve">Palmer,</w:t>
        </w:r>
        <w:r>
          <w:rPr>
            <w:rStyle w:val="Link"/>
          </w:rPr>
          <w:t xml:space="preserve"> </w:t>
        </w:r>
        <w:r>
          <w:rPr>
            <w:rStyle w:val="Link"/>
          </w:rPr>
          <w:t xml:space="preserve">supra</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r>
        <w:t xml:space="preserve">The right of publicity was first recognized in Georgia by the Court of Appeals in</w:t>
      </w:r>
      <w:r>
        <w:t xml:space="preserve"> </w:t>
      </w:r>
      <w:hyperlink r:id="rId47">
        <w:r>
          <w:rPr>
            <w:i/>
            <w:rStyle w:val="Link"/>
          </w:rPr>
          <w:t xml:space="preserve">Cabaniss v. Hipsley,</w:t>
        </w:r>
        <w:r>
          <w:rPr>
            <w:rStyle w:val="Link"/>
          </w:rPr>
          <w:t xml:space="preserve"> </w:t>
        </w:r>
        <w:r>
          <w:rPr>
            <w:rStyle w:val="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hyperlink r:id="rId47">
        <w:r>
          <w:rPr>
            <w:i/>
            <w:rStyle w:val="Link"/>
          </w:rPr>
          <w:t xml:space="preserve">Id</w:t>
        </w:r>
        <w:r>
          <w:rPr>
            <w:rStyle w:val="Link"/>
          </w:rPr>
          <w:t xml:space="preserve">.</w:t>
        </w:r>
      </w:hyperlink>
      <w:r>
        <w:t xml:space="preserve">. Finding no violation of the first three rights of privacy, the court found a violation of the fourth, saying (</w:t>
      </w:r>
      <w:hyperlink r:id="rId47">
        <w:r>
          <w:rPr>
            <w:i/>
            <w:rStyle w:val="Link"/>
          </w:rPr>
          <w:t xml:space="preserve">Id.</w:t>
        </w:r>
      </w:hyperlink>
      <w:r>
        <w:t xml:space="preserve">):</w:t>
      </w:r>
    </w:p>
    <w:p>
      <w:pPr>
        <w:pStyle w:val="BlockQuote"/>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 . . "The interest protected (in the 'appropriation' cases) is not so much a mental as a proprietary one, in the exclusive use of the plaintiff's name and likeness as an aspect of his identity."</w:t>
      </w:r>
    </w:p>
    <w:p>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7">
        <w:r>
          <w:rPr>
            <w:i/>
            <w:rStyle w:val="Link"/>
          </w:rPr>
          <w:t xml:space="preserve">Id</w:t>
        </w:r>
      </w:hyperlink>
      <w:r>
        <w:t xml:space="preserve">):</w:t>
      </w:r>
    </w:p>
    <w:p>
      <w:pPr>
        <w:pStyle w:val="BlockQuote"/>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44">
        <w:r>
          <w:rPr>
            <w:i/>
            <w:rStyle w:val="Link"/>
          </w:rPr>
          <w:t xml:space="preserve">Pavesich v. New England Life Ins. Co.,</w:t>
        </w:r>
        <w:r>
          <w:rPr>
            <w:rStyle w:val="Link"/>
          </w:rPr>
          <w:t xml:space="preserve"> </w:t>
        </w:r>
        <w:r>
          <w:rPr>
            <w:rStyle w:val="Link"/>
          </w:rPr>
          <w:t xml:space="preserve">supra</w:t>
        </w:r>
      </w:hyperlink>
      <w:r>
        <w:t xml:space="preserve">. In the latter class, the measure of damages is the value of the use of the appropriated publicity.</w:t>
      </w:r>
    </w:p>
    <w:p>
      <w:r>
        <w:t xml:space="preserve">In</w:t>
      </w:r>
      <w:r>
        <w:t xml:space="preserve"> </w:t>
      </w:r>
      <w:hyperlink r:id="rId48">
        <w:r>
          <w:rPr>
            <w:i/>
            <w:rStyle w:val="Link"/>
          </w:rPr>
          <w:t xml:space="preserve">McQueen v. Wilson,</w:t>
        </w:r>
      </w:hyperlink>
      <w:r>
        <w:t xml:space="preserve"> </w:t>
      </w:r>
      <w:r>
        <w:t xml:space="preserve">reversed on other grounds,</w:t>
      </w:r>
      <w:r>
        <w:t xml:space="preserve"> </w:t>
      </w:r>
      <w:hyperlink r:id="rId49">
        <w:r>
          <w:rPr>
            <w:rStyle w:val="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r>
        <w:t xml:space="preserve">Thus, the courts in Georgia have recognized the rights of private citizens,</w:t>
      </w:r>
      <w:r>
        <w:t xml:space="preserve"> </w:t>
      </w:r>
      <w:hyperlink r:id="rId44">
        <w:r>
          <w:rPr>
            <w:i/>
            <w:rStyle w:val="Link"/>
          </w:rPr>
          <w:t xml:space="preserve">Pavesich,</w:t>
        </w:r>
        <w:r>
          <w:rPr>
            <w:rStyle w:val="Link"/>
          </w:rPr>
          <w:t xml:space="preserve"> </w:t>
        </w:r>
        <w:r>
          <w:rPr>
            <w:rStyle w:val="Link"/>
          </w:rPr>
          <w:t xml:space="preserve">supra</w:t>
        </w:r>
      </w:hyperlink>
      <w:r>
        <w:t xml:space="preserve">, as well as entertainers,</w:t>
      </w:r>
      <w:r>
        <w:t xml:space="preserve"> </w:t>
      </w:r>
      <w:r>
        <w:rPr>
          <w:i/>
        </w:rPr>
        <w:t xml:space="preserve">Cabaniss</w:t>
      </w:r>
      <w:r>
        <w:t xml:space="preserve"> </w:t>
      </w:r>
      <w:r>
        <w:t xml:space="preserve">and</w:t>
      </w:r>
      <w:r>
        <w:t xml:space="preserve"> </w:t>
      </w:r>
      <w:hyperlink r:id="rId48">
        <w:r>
          <w:rPr>
            <w:i/>
            <w:rStyle w:val="Link"/>
          </w:rPr>
          <w:t xml:space="preserve">McQueen,</w:t>
        </w:r>
        <w:r>
          <w:rPr>
            <w:rStyle w:val="Link"/>
          </w:rPr>
          <w:t xml:space="preserve"> </w:t>
        </w:r>
        <w:r>
          <w:rPr>
            <w:rStyle w:val="Link"/>
          </w:rPr>
          <w:t xml:space="preserve">supra</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r>
        <w:t xml:space="preserve">In</w:t>
      </w:r>
      <w:r>
        <w:t xml:space="preserve"> </w:t>
      </w:r>
      <w:hyperlink r:id="rId44">
        <w:r>
          <w:rPr>
            <w:i/>
            <w:rStyle w:val="Link"/>
          </w:rPr>
          <w:t xml:space="preserve">Pavesich,</w:t>
        </w:r>
        <w:r>
          <w:rPr>
            <w:rStyle w:val="Link"/>
          </w:rPr>
          <w:t xml:space="preserve"> </w:t>
        </w:r>
        <w:r>
          <w:rPr>
            <w:rStyle w:val="Link"/>
          </w:rPr>
          <w:t xml:space="preserve">supra, 122 Ga. 190,</w:t>
        </w:r>
      </w:hyperlink>
      <w:r>
        <w:t xml:space="preserve"> </w:t>
      </w:r>
      <w:r>
        <w:t xml:space="preserve">this right not to have another appropriate one's photograph was denominated the right of privacy; in</w:t>
      </w:r>
      <w:r>
        <w:t xml:space="preserve"> </w:t>
      </w:r>
      <w:hyperlink r:id="rId47">
        <w:r>
          <w:rPr>
            <w:i/>
            <w:rStyle w:val="Link"/>
          </w:rPr>
          <w:t xml:space="preserve">Cabaniss v. Hipsley,</w:t>
        </w:r>
        <w:r>
          <w:rPr>
            <w:rStyle w:val="Link"/>
          </w:rPr>
          <w:t xml:space="preserve"> </w:t>
        </w:r>
        <w:r>
          <w:rPr>
            <w:rStyle w:val="Link"/>
          </w:rPr>
          <w:t xml:space="preserve">supra, 114 Ga. App. 367,</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50" w:name="does-the-right-of-publicity-survive-the-death-of-its-owner-i.e.-is-the-right-inheritable-and-devisable"/>
      <w:bookmarkEnd w:id="50"/>
      <w:r>
        <w:t xml:space="preserve">2. Does the "right of publicity" survive the death of its owner (i.e., is the right inheritable and devisable)?</w:t>
      </w:r>
    </w:p>
    <w:p>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44">
        <w:r>
          <w:rPr>
            <w:i/>
            <w:rStyle w:val="Link"/>
          </w:rPr>
          <w:t xml:space="preserve">Pavesich, supra</w:t>
        </w:r>
      </w:hyperlink>
      <w:r>
        <w:t xml:space="preserve">.</w:t>
      </w:r>
    </w:p>
    <w:p>
      <w:r>
        <w:t xml:space="preserve">The right of publicity is assignable during the life of the celebrity, for without this characteristic, full commercial exploitation of one's name and likeness is practically impossible.</w:t>
      </w:r>
      <w:r>
        <w:t xml:space="preserve"> </w:t>
      </w:r>
      <w:hyperlink r:id="rId46">
        <w:r>
          <w:rPr>
            <w:i/>
            <w:rStyle w:val="Link"/>
          </w:rPr>
          <w:t xml:space="preserve">Haelan Laboratories v. Topps Chewing Gum</w:t>
        </w:r>
        <w:r>
          <w:rPr>
            <w:rStyle w:val="Link"/>
          </w:rPr>
          <w:t xml:space="preserve">, supra</w:t>
        </w:r>
      </w:hyperlink>
      <w:r>
        <w:t xml:space="preserve">. That is, without assignability the right of publicity could hardly be called a "right." Recognizing its assignability, most commentators have urged that the right of publicity must also be inheritable.</w:t>
      </w:r>
    </w:p>
    <w:p>
      <w:r>
        <w:t xml:space="preserve">The courts that have considered the problem are not as unanimous. In</w:t>
      </w:r>
      <w:r>
        <w:t xml:space="preserve"> </w:t>
      </w:r>
      <w:hyperlink r:id="rId41">
        <w:r>
          <w:rPr>
            <w:i/>
            <w:rStyle w:val="Link"/>
          </w:rPr>
          <w:t xml:space="preserve">Price v. Hal Roach Studios</w:t>
        </w:r>
        <w:r>
          <w:rPr>
            <w:rStyle w:val="Link"/>
          </w:rPr>
          <w:t xml:space="preserve">, supra,</w:t>
        </w:r>
      </w:hyperlink>
      <w:r>
        <w:t xml:space="preserve"> </w:t>
      </w:r>
      <w:r>
        <w:t xml:space="preserve">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r>
        <w:t xml:space="preserve">In</w:t>
      </w:r>
      <w:r>
        <w:t xml:space="preserve"> </w:t>
      </w:r>
      <w:hyperlink r:id="rId51">
        <w:r>
          <w:rPr>
            <w:i/>
            <w:rStyle w:val="Link"/>
          </w:rPr>
          <w:t xml:space="preserve">Factors Etc., Inc. v. Pro Arts, Inc.</w:t>
        </w:r>
        <w:r>
          <w:rPr>
            <w:rStyle w:val="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1">
        <w:r>
          <w:rPr>
            <w:i/>
            <w:rStyle w:val="Link"/>
          </w:rPr>
          <w:t xml:space="preserve">Id.</w:t>
        </w:r>
        <w:r>
          <w:rPr>
            <w:rStyle w:val="Link"/>
          </w:rPr>
          <w:t xml:space="preserve"> </w:t>
        </w:r>
        <w:r>
          <w:rPr>
            <w:rStyle w:val="Link"/>
          </w:rPr>
          <w:t xml:space="preserve">at 221</w:t>
        </w:r>
      </w:hyperlink>
      <w:r>
        <w:t xml:space="preserve">):</w:t>
      </w:r>
    </w:p>
    <w:p>
      <w:pPr>
        <w:pStyle w:val="BlockQuote"/>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r>
        <w:t xml:space="preserve">In</w:t>
      </w:r>
      <w:r>
        <w:t xml:space="preserve"> </w:t>
      </w:r>
      <w:hyperlink r:id="rId52">
        <w:r>
          <w:rPr>
            <w:i/>
            <w:rStyle w:val="Link"/>
          </w:rPr>
          <w:t xml:space="preserve">Lugosi v. Universal Pictures</w:t>
        </w:r>
        <w:r>
          <w:rPr>
            <w:rStyle w:val="Link"/>
          </w:rPr>
          <w:t xml:space="preserve">,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r>
        <w:t xml:space="preserve">For the reasons which follow we hold that the right of publicity survives the death of its owner and is inheritable and devisable.</w:t>
      </w:r>
    </w:p>
    <w:p>
      <w:pPr>
        <w:pStyle w:val="Heading4"/>
      </w:pPr>
      <w:bookmarkStart w:id="53" w:name="weltner-justice-concurring-specially."/>
      <w:bookmarkEnd w:id="53"/>
      <w:r>
        <w:t xml:space="preserve">WELTNER, Justice, concurring specially.</w:t>
      </w:r>
    </w:p>
    <w:p>
      <w:r>
        <w:t xml:space="preserve">I concur specially because, although this matter is one of certified questions, I believe that the complaint states a claim upon which relief can be granted. I disagree most decidedly with the substantive portion of the majority opinion, for reason that it generates more unsettling questions than it resolves.</w:t>
      </w:r>
    </w:p>
    <w:p>
      <w:r>
        <w:t xml:space="preserve">In this opinion, we have taken the "right of privacy" as enumerated in</w:t>
      </w:r>
      <w:r>
        <w:t xml:space="preserve"> </w:t>
      </w:r>
      <w:hyperlink r:id="rId44">
        <w:r>
          <w:rPr>
            <w:i/>
            <w:rStyle w:val="Link"/>
          </w:rPr>
          <w:t xml:space="preserve">Pavesich,</w:t>
        </w:r>
        <w:r>
          <w:rPr>
            <w:rStyle w:val="Link"/>
          </w:rPr>
          <w:t xml:space="preserve"> </w:t>
        </w:r>
        <w:r>
          <w:rPr>
            <w:rStyle w:val="Link"/>
          </w:rPr>
          <w:t xml:space="preserve">supra</w:t>
        </w:r>
      </w:hyperlink>
      <w:r>
        <w:t xml:space="preserve">, and added thereto a new thing, now called a "right of publicity." That seems to me to be more an exercise in verbal juxtaposition than a careful examination of legal issues and practical results.</w:t>
      </w:r>
    </w:p>
    <w:p>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r>
        <w:t xml:space="preserve">Why, then, this exercise?</w:t>
      </w:r>
    </w:p>
    <w:p>
      <w:r>
        <w:t xml:space="preserve">Because in proclaiming this new "right of publicity," we have created an open-ended and ill-defined force which jeopardizes a right of unquestioned authenticity — free speech.…</w:t>
      </w:r>
    </w:p>
    <w:p>
      <w:r>
        <w:t xml:space="preserve">But the majority says that the fabrication and commercial distribution of a likeness of Dr. King is not "speech," thereby removing the inquiry from the ambit of First Amendment or Free Speech inquiries.</w:t>
      </w:r>
    </w:p>
    <w:p>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r>
        <w:t xml:space="preserve">Do not the statues of the Confederate soldiers which inhabit so many of our courthouse squares express the sentiments of those who raised them?</w:t>
      </w:r>
    </w:p>
    <w:p>
      <w:r>
        <w:t xml:space="preserve">Are not the busts of former chief justices, stationed within the rotunda of this very courthouse, expressions of sentiments of gratitude and approval?</w:t>
      </w:r>
    </w:p>
    <w:p>
      <w:r>
        <w:t xml:space="preserve">Is not the portrait of Dr. King which hangs in our Capitol an expression of sentiment?</w:t>
      </w:r>
    </w:p>
    <w:p>
      <w:r>
        <w:t xml:space="preserve">Manifestly so.</w:t>
      </w:r>
    </w:p>
    <w:p>
      <w:r>
        <w:t xml:space="preserve">If, then, a two-dimensional likeness in oil and canvas is an expression of sentiment, how can it be said that a three-dimensional likeness in plastic is</w:t>
      </w:r>
      <w:r>
        <w:t xml:space="preserve"> </w:t>
      </w:r>
      <w:r>
        <w:rPr>
          <w:i/>
        </w:rPr>
        <w:t xml:space="preserve">not?</w:t>
      </w:r>
    </w:p>
    <w:p>
      <w:r>
        <w:t xml:space="preserve">But, says the majority, our new right to publicity is violated only in cases involving financial gain.</w:t>
      </w:r>
    </w:p>
    <w:p>
      <w:r>
        <w:t xml:space="preserve">Did the sculptors of our Confederate soldiers, and of our chief justices, labor without gain? Was Dr. King's portraitist unpaid for his work?</w:t>
      </w:r>
    </w:p>
    <w:p>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r>
        <w:t xml:space="preserve">The essay, because of its worth, is reprinted in a commercial publication. Must the publisher account?</w:t>
      </w:r>
    </w:p>
    <w:p>
      <w:r>
        <w:t xml:space="preserve">The publication is sold on the newsstand. Must the vendor account?</w:t>
      </w:r>
    </w:p>
    <w:p>
      <w:r>
        <w:t xml:space="preserve">The majority will say "free speech." Very well. The same child wins a $25 prize in the school art fair. His creation — a bust of Dr. King.</w:t>
      </w:r>
    </w:p>
    <w:p>
      <w:r>
        <w:t xml:space="preserve">Must he account?</w:t>
      </w:r>
    </w:p>
    <w:p>
      <w:r>
        <w:t xml:space="preserve">The local newspaper prints a photograph of the child and of his creation. Must it account?</w:t>
      </w:r>
    </w:p>
    <w:p>
      <w:r>
        <w:t xml:space="preserve">UNICEF reproduces the bust on its Christmas cards. Must it account?</w:t>
      </w:r>
    </w:p>
    <w:p>
      <w:r>
        <w:t xml:space="preserve">Finally, a purely commercial venture undertakes to market replicas of the bust under circumstances similar to those of this case. Must it account?</w:t>
      </w:r>
    </w:p>
    <w:p>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r>
        <w:t xml:space="preserve">Were it otherwise, this "right of publicity," fully extended, would eliminate scholarly research, historical analysis, and public comment, because food and shelter, and the financial gain it takes to provide them, are still essentials of human existence.</w:t>
      </w:r>
    </w:p>
    <w:p>
      <w:r>
        <w:t xml:space="preserve">Were it otherwise, no newspaper might identify any person or any incident of his life without accounting to him for violation of his "right to publicity."</w:t>
      </w:r>
    </w:p>
    <w:p>
      <w:r>
        <w:t xml:space="preserve">Were it otherwise, no author might refer to any event in history wherein his reference is identifiable to any individual (or his heirs!) without accounting for his royalties.</w:t>
      </w:r>
    </w:p>
    <w:p>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4" w:name="zacchini-v.-scripps-howard-broadcasting-co."/>
      <w:bookmarkEnd w:id="54"/>
      <w:r>
        <w:t xml:space="preserve">Zacchini v. Scripps-Howard Broadcasting Co.</w:t>
      </w:r>
    </w:p>
    <w:p>
      <w:pPr>
        <w:pStyle w:val="Heading6"/>
      </w:pPr>
      <w:bookmarkStart w:id="55" w:name="united-states-supreme-court-1977"/>
      <w:bookmarkEnd w:id="55"/>
      <w:r>
        <w:t xml:space="preserve">United States Supreme Court (1977)</w:t>
      </w:r>
    </w:p>
    <w:p>
      <w:pPr>
        <w:pStyle w:val="Compact"/>
        <w:numPr>
          <w:numId w:val="1004"/>
          <w:ilvl w:val="0"/>
        </w:numPr>
      </w:pPr>
      <w:hyperlink r:id="rId56">
        <w:r>
          <w:rPr>
            <w:rStyle w:val="Link"/>
          </w:rPr>
          <w:t xml:space="preserve">Case on Google Scholar</w:t>
        </w:r>
      </w:hyperlink>
    </w:p>
    <w:p>
      <w:pPr>
        <w:pStyle w:val="Compact"/>
        <w:numPr>
          <w:numId w:val="1004"/>
          <w:ilvl w:val="0"/>
        </w:numPr>
      </w:pPr>
      <w:hyperlink r:id="rId57">
        <w:r>
          <w:rPr>
            <w:rStyle w:val="Link"/>
          </w:rPr>
          <w:t xml:space="preserve">Case on Westlaw</w:t>
        </w:r>
      </w:hyperlink>
    </w:p>
    <w:p>
      <w:pPr>
        <w:pStyle w:val="Compact"/>
        <w:numPr>
          <w:numId w:val="1004"/>
          <w:ilvl w:val="0"/>
        </w:numPr>
      </w:pPr>
      <w:hyperlink r:id="rId58">
        <w:r>
          <w:rPr>
            <w:rStyle w:val="Link"/>
          </w:rPr>
          <w:t xml:space="preserve">Case on Wikipedia</w:t>
        </w:r>
      </w:hyperlink>
    </w:p>
    <w:p>
      <w:r>
        <w:t xml:space="preserve">[In the following excerpts, "Petitioner" has been changed to "Zacchini," and "Respondent" has been changed to "the TV station." - RD]</w:t>
      </w:r>
    </w:p>
    <w:p>
      <w:r>
        <w:t xml:space="preserve">MR. JUSTICE WHITE delivered the opinion of the Court.</w:t>
      </w:r>
    </w:p>
    <w:p>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Quote"/>
      </w:pPr>
      <w:r>
        <w:t xml:space="preserve">"A TV station has a privilege to report in its newscasts matters of legitimate public interest which would otherwise be protected by an individual's right of publicity, unless the actual intent of the TV station was to appropriate the benefit of the publicity for some non-privileged private use, or unless the actual intent was to injure the individual."</w:t>
      </w:r>
      <w:r>
        <w:t xml:space="preserve"> </w:t>
      </w:r>
      <w:r>
        <w:rPr>
          <w:i/>
        </w:rPr>
        <w:t xml:space="preserve">Ibid.</w:t>
      </w:r>
    </w:p>
    <w:p>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pPr>
        <w:pStyle w:val="Heading3"/>
      </w:pPr>
      <w:bookmarkStart w:id="59" w:name="i"/>
      <w:bookmarkEnd w:id="59"/>
      <w:r>
        <w:t xml:space="preserve">I</w:t>
      </w:r>
    </w:p>
    <w:p>
      <w:r>
        <w:t xml:space="preserve">[In deciding the crucial question of whether the TV station had a privilege to film and televise Zacchini's performance, the Ohio Supreme Court relied on</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r>
          <w:rPr>
            <w:rStyle w:val="Link"/>
          </w:rPr>
          <w:t xml:space="preserve"> </w:t>
        </w:r>
        <w:r>
          <w:rPr>
            <w:rStyle w:val="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61">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to stand for the proposition that "the press has a privilege to report matters of legitimate public interest even though such reports might intrude on matters otherwise private," and concluded, therefore, that the press is also "privileged when an individual seeks to publicly exploit his talents while keeping the benefits private." The privilege thus exists in cases "where appropriation of a right of publicity is claimed." The Ohio Supreme Court concluded that "since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p>
    <w:p>
      <w:pPr>
        <w:pStyle w:val="Heading3"/>
      </w:pPr>
      <w:bookmarkStart w:id="62" w:name="ii"/>
      <w:bookmarkEnd w:id="62"/>
      <w:r>
        <w:t xml:space="preserve">II</w:t>
      </w:r>
    </w:p>
    <w:p>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 "a right of publicity" that gave him "personal control over commercial display and exploitation of his personality and the exercise of his talents." This right of "exclusive control over the publicity given to his performances" was said to be such a "valuable part of the benefit which may be attained by his talents and efforts" that it was entitled to legal protection. It was also observed, or at least expressly assumed, that Zacchini had not abandoned his rights by performing under the circumstances present at the Geauga County Fair Grounds.</w:t>
      </w:r>
    </w:p>
    <w:p>
      <w:r>
        <w:t xml:space="preserve">The Ohio Supreme Court nevertheless held that the challenged invasion was privileged, saying that the press "must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 'breathing room' in reporting which freedom of the press requires." 47 Ohio St. 2d, at 235. Under this view, the TV station was thus constitutionally free to film and display Zacchini's entire act.</w:t>
      </w:r>
    </w:p>
    <w:p>
      <w:r>
        <w:t xml:space="preserve">The Ohio Supreme Court relied heavily on</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r>
          <w:rPr>
            <w:rStyle w:val="Link"/>
          </w:rPr>
          <w:t xml:space="preserve"> </w:t>
        </w:r>
        <w:r>
          <w:rPr>
            <w:rStyle w:val="Link"/>
          </w:rPr>
          <w:t xml:space="preserve">(S.Ct. 1967),</w:t>
        </w:r>
      </w:hyperlink>
      <w:r>
        <w:t xml:space="preserve"> </w:t>
      </w:r>
      <w:r>
        <w:t xml:space="preserve">but that case does not mandate a media privilege to televise a performer's entire act without his consent. Involved in</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was a claim under the New York "Right of Privacy" statute that Life Magazine, in the course of reviewing a new play, had connected the play with a long-past incident involving Zacchini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1">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w:t>
      </w:r>
    </w:p>
    <w:p>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which was hotly contested and decided by a divided Court, involved an entirely different tort from the "right of publicity" recognized by the Ohio Supreme Court. As the opinion reveals in</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 "false light" privacy case involving a matter of public interest, not a case involving "intrusion," "appropriation" of a name or likeness for the purposes of trade, … or "private details" about a non-newsworthy person or event,</w:t>
      </w:r>
      <w:r>
        <w:t xml:space="preserve"> </w:t>
      </w:r>
      <w:r>
        <w:rPr>
          <w:i/>
        </w:rPr>
        <w:t xml:space="preserve">id.</w:t>
      </w:r>
      <w:r>
        <w:t xml:space="preserve"> </w:t>
      </w:r>
      <w:r>
        <w:t xml:space="preserve">It is also abundantly clear that</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did not involve a performer, a person with a name having commercial value, or any claim to a "right of publicity." This discrete kind of "appropriation" case was plainly identified in the literature cited by the Court and had been adjudicated in the reported cases.</w:t>
      </w:r>
    </w:p>
    <w:p>
      <w:r>
        <w:t xml:space="preserve">The differences between these two torts are important. First, the State's interests in providing a cause of action in each instance are different. "The interest protected" in permitting recovery for placing the plaintiff in a false light "is clearly that of reputation, with the same overtones of mental distress as in defamation." Prosser,</w:t>
      </w:r>
      <w:r>
        <w:t xml:space="preserve"> </w:t>
      </w:r>
      <w:r>
        <w:rPr>
          <w:i/>
        </w:rPr>
        <w:t xml:space="preserve">supra.</w:t>
      </w:r>
      <w:r>
        <w:t xml:space="preserve"> </w:t>
      </w:r>
      <w:r>
        <w:t xml:space="preserve">By contrast, the State's interest in permitting a "right of publicity" 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 "false light" cases the only way to protect the interests involved is to attempt to minimize publication of the damaging matter, while in "right of publicity" 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r>
        <w:t xml:space="preserve">Nor does it appear that our later cases, such as</w:t>
      </w:r>
      <w:r>
        <w:t xml:space="preserve"> </w:t>
      </w:r>
      <w:hyperlink r:id="rId63">
        <w:r>
          <w:rPr>
            <w:i/>
            <w:rStyle w:val="Link"/>
          </w:rPr>
          <w:t xml:space="preserve">Rosenbloom</w:t>
        </w:r>
        <w:r>
          <w:rPr>
            <w:rStyle w:val="Link"/>
          </w:rPr>
          <w:t xml:space="preserve"> </w:t>
        </w:r>
        <w:r>
          <w:rPr>
            <w:rStyle w:val="Link"/>
          </w:rPr>
          <w:t xml:space="preserve">v.</w:t>
        </w:r>
        <w:r>
          <w:rPr>
            <w:rStyle w:val="Link"/>
          </w:rPr>
          <w:t xml:space="preserve"> </w:t>
        </w:r>
        <w:r>
          <w:rPr>
            <w:i/>
            <w:rStyle w:val="Link"/>
          </w:rPr>
          <w:t xml:space="preserve">Metromedia, Inc.,</w:t>
        </w:r>
        <w:r>
          <w:rPr>
            <w:rStyle w:val="Link"/>
          </w:rPr>
          <w:t xml:space="preserve"> </w:t>
        </w:r>
        <w:r>
          <w:rPr>
            <w:rStyle w:val="Link"/>
          </w:rPr>
          <w:t xml:space="preserve">(S.Ct. 1971)</w:t>
        </w:r>
      </w:hyperlink>
      <w:r>
        <w:t xml:space="preserve">;</w:t>
      </w:r>
      <w:r>
        <w:t xml:space="preserve"> </w:t>
      </w:r>
      <w:hyperlink r:id="rId64">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and</w:t>
      </w:r>
      <w:r>
        <w:t xml:space="preserve"> </w:t>
      </w:r>
      <w:hyperlink r:id="rId65">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Firestone,</w:t>
        </w:r>
        <w:r>
          <w:rPr>
            <w:rStyle w:val="Link"/>
          </w:rPr>
          <w:t xml:space="preserve"> </w:t>
        </w:r>
        <w:r>
          <w:rPr>
            <w:rStyle w:val="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r>
        <w:t xml:space="preserve">Moreover,</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 "right of exclusive control over the publicity given to his performance"; if the public can see the act free on television, it will be less willing to pay to see it at the fair. The effect of a public broadcast of the performance is similar to preventing Zacchini from charging an admission fee. "The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 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 "right of publicity"--involving, not the appropriation of an entertainer's reputation to enhance the attractiveness of a commercial product, but the appropriation of the very activity by which the entertainer acquired his reputation in the first place.</w:t>
      </w:r>
    </w:p>
    <w:p>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6">
        <w:r>
          <w:rPr>
            <w:i/>
            <w:rStyle w:val="Link"/>
          </w:rPr>
          <w:t xml:space="preserve">Mazer</w:t>
        </w:r>
        <w:r>
          <w:rPr>
            <w:rStyle w:val="Link"/>
          </w:rPr>
          <w:t xml:space="preserve"> </w:t>
        </w:r>
        <w:r>
          <w:rPr>
            <w:rStyle w:val="Link"/>
          </w:rPr>
          <w:t xml:space="preserve">v.</w:t>
        </w:r>
        <w:r>
          <w:rPr>
            <w:rStyle w:val="Link"/>
          </w:rPr>
          <w:t xml:space="preserve"> </w:t>
        </w:r>
        <w:r>
          <w:rPr>
            <w:i/>
            <w:rStyle w:val="Link"/>
          </w:rPr>
          <w:t xml:space="preserve">Stein,</w:t>
        </w:r>
        <w:r>
          <w:rPr>
            <w:rStyle w:val="Link"/>
          </w:rPr>
          <w:t xml:space="preserve"> </w:t>
        </w:r>
        <w:r>
          <w:rPr>
            <w:rStyle w:val="Link"/>
          </w:rPr>
          <w:t xml:space="preserve">(S.Ct. 1954)</w:t>
        </w:r>
      </w:hyperlink>
      <w:r>
        <w:t xml:space="preserve">:</w:t>
      </w:r>
    </w:p>
    <w:p>
      <w:pPr>
        <w:pStyle w:val="BlockQuote"/>
      </w:pPr>
      <w:r>
        <w:t xml:space="preserve">"The economic philosophy behind the clause empowering Congress to grant patents and copyrights is the conviction that encouragement of individual effort by personal gain is the best way to advance public welfare through the talents of authors and inventors in 'Science and useful Arts.' Sacrificial days devoted to such creative activities deserve rewards commensurate with the services rendered." These laws perhaps regard the "reward to the owner [as] a secondary consideration,"</w:t>
      </w:r>
      <w:r>
        <w:t xml:space="preserve"> </w:t>
      </w:r>
      <w:hyperlink r:id="rId67">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Paramount Pictures,</w:t>
        </w:r>
        <w:r>
          <w:rPr>
            <w:rStyle w:val="Link"/>
          </w:rPr>
          <w:t xml:space="preserve"> </w:t>
        </w:r>
        <w:r>
          <w:rPr>
            <w:rStyle w:val="Link"/>
          </w:rPr>
          <w:t xml:space="preserve">(S.Ct. 1948),</w:t>
        </w:r>
      </w:hyperlink>
      <w:r>
        <w:t xml:space="preserve"> </w:t>
      </w:r>
      <w:r>
        <w:t xml:space="preserve">but they were "intended definitely to grant valuable, enforceable rights" in order to afford greater encouragement to the production of works of benefit to the public.</w:t>
      </w:r>
      <w:r>
        <w:t xml:space="preserve"> </w:t>
      </w:r>
      <w:hyperlink r:id="rId68">
        <w:r>
          <w:rPr>
            <w:i/>
            <w:rStyle w:val="Link"/>
          </w:rPr>
          <w:t xml:space="preserve">Washingtonian Publishing Co.</w:t>
        </w:r>
        <w:r>
          <w:rPr>
            <w:rStyle w:val="Link"/>
          </w:rPr>
          <w:t xml:space="preserve"> </w:t>
        </w:r>
        <w:r>
          <w:rPr>
            <w:rStyle w:val="Link"/>
          </w:rPr>
          <w:t xml:space="preserve">v.</w:t>
        </w:r>
        <w:r>
          <w:rPr>
            <w:rStyle w:val="Link"/>
          </w:rPr>
          <w:t xml:space="preserve"> </w:t>
        </w:r>
        <w:r>
          <w:rPr>
            <w:i/>
            <w:rStyle w:val="Link"/>
          </w:rPr>
          <w:t xml:space="preserve">Pearson,</w:t>
        </w:r>
        <w:r>
          <w:rPr>
            <w:rStyle w:val="Link"/>
          </w:rPr>
          <w:t xml:space="preserve"> </w:t>
        </w:r>
        <w:r>
          <w:rPr>
            <w:rStyle w:val="Link"/>
          </w:rPr>
          <w:t xml:space="preserve">(S.Ct. 1939)</w:t>
        </w:r>
      </w:hyperlink>
      <w:r>
        <w:t xml:space="preserve">. The Constitution does not prevent Ohio from making a similar choice here in deciding to protect the entertainer's incentive in order to encourage the production of this type of work.</w:t>
      </w:r>
    </w:p>
    <w:p>
      <w:r>
        <w:t xml:space="preserve">There is no doubt that entertainment, as well as news, enjoys First Amendment protection. It is also true that entertainment itself can be important news.</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4">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The TV station knew that Zacchini objected to televising his act but nevertheless displayed the entire film.</w:t>
      </w:r>
    </w:p>
    <w:p>
      <w:r>
        <w:t xml:space="preserve">We conclude that although the State of Ohio may as a matter of its own law privilege the press in the circumstances of this case, the First and Fourteenth Amendments do not require it to do so.</w:t>
      </w:r>
    </w:p>
    <w:p>
      <w:r>
        <w:rPr>
          <w:i/>
        </w:rPr>
        <w:t xml:space="preserve">Reversed.</w:t>
      </w:r>
    </w:p>
    <w:p>
      <w:pPr>
        <w:pStyle w:val="Heading4"/>
      </w:pPr>
      <w:bookmarkStart w:id="69" w:name="notes-on-zacchini"/>
      <w:bookmarkEnd w:id="69"/>
      <w:r>
        <w:t xml:space="preserve">Notes On</w:t>
      </w:r>
      <w:r>
        <w:t xml:space="preserve"> </w:t>
      </w:r>
      <w:r>
        <w:rPr>
          <w:i/>
        </w:rPr>
        <w:t xml:space="preserve">Zacchini</w:t>
      </w:r>
    </w:p>
    <w:p>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for the proposition that the press has a privilege to report news, even if the reporting intrudes on privacy.</w:t>
      </w:r>
    </w:p>
    <w:p>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r>
        <w:t xml:space="preserve">Second, the two torts (privacy v. publicity) "differ in the degree to which they intrude on dissemination of information to the public."</w:t>
      </w:r>
    </w:p>
    <w:p>
      <w:r>
        <w:t xml:space="preserve">In "false light" cases, the plaintiff wants to "minimize publication of the damaging matter." In "right of publicity" cases, it's all about who gets to do the publishing.</w:t>
      </w:r>
    </w:p>
    <w:p>
      <w:pPr>
        <w:pStyle w:val="BlockQuote"/>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70" w:name="carson-v.-heres-johnny-portable-toilets-inc."/>
      <w:bookmarkEnd w:id="70"/>
      <w:r>
        <w:rPr>
          <w:i/>
        </w:rPr>
        <w:t xml:space="preserve">Carson v. Here's Johnny Portable Toilets, Inc.</w:t>
      </w:r>
    </w:p>
    <w:p>
      <w:pPr>
        <w:pStyle w:val="Heading6"/>
      </w:pPr>
      <w:bookmarkStart w:id="71" w:name="court-of-appeals-6th-circuit-1983"/>
      <w:bookmarkEnd w:id="71"/>
      <w:r>
        <w:t xml:space="preserve">Court of Appeals, 6th Circuit (1983)</w:t>
      </w:r>
    </w:p>
    <w:p>
      <w:pPr>
        <w:pStyle w:val="Compact"/>
        <w:numPr>
          <w:numId w:val="1005"/>
          <w:ilvl w:val="0"/>
        </w:numPr>
      </w:pPr>
      <w:hyperlink r:id="rId72">
        <w:r>
          <w:rPr>
            <w:rStyle w:val="Link"/>
          </w:rPr>
          <w:t xml:space="preserve">case on Google Scholar</w:t>
        </w:r>
      </w:hyperlink>
    </w:p>
    <w:p>
      <w:pPr>
        <w:pStyle w:val="Compact"/>
        <w:numPr>
          <w:numId w:val="1005"/>
          <w:ilvl w:val="0"/>
        </w:numPr>
      </w:pPr>
      <w:hyperlink r:id="rId73">
        <w:r>
          <w:rPr>
            <w:rStyle w:val="Link"/>
          </w:rPr>
          <w:t xml:space="preserve">case on Westlaw</w:t>
        </w:r>
      </w:hyperlink>
    </w:p>
    <w:p>
      <w:pPr>
        <w:pStyle w:val="Compact"/>
        <w:numPr>
          <w:numId w:val="1005"/>
          <w:ilvl w:val="0"/>
        </w:numPr>
      </w:pPr>
      <w:hyperlink r:id="rId74">
        <w:r>
          <w:rPr>
            <w:i/>
            <w:rStyle w:val="Link"/>
          </w:rPr>
          <w:t xml:space="preserve">Hollywood Reporter</w:t>
        </w:r>
        <w:r>
          <w:rPr>
            <w:rStyle w:val="Link"/>
          </w:rPr>
          <w:t xml:space="preserve"> </w:t>
        </w:r>
        <w:r>
          <w:rPr>
            <w:rStyle w:val="Link"/>
          </w:rPr>
          <w:t xml:space="preserve">on Carson litigation</w:t>
        </w:r>
      </w:hyperlink>
    </w:p>
    <w:p>
      <w:r>
        <w:t xml:space="preserve">BAILEY BROWN, Senior Circuit Judge.</w:t>
      </w:r>
    </w:p>
    <w:p>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75" w:name="right-of-publicity-1"/>
      <w:bookmarkEnd w:id="75"/>
      <w:r>
        <w:t xml:space="preserve">Right of Publicity</w:t>
      </w:r>
    </w:p>
    <w:p>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6">
        <w:r>
          <w:rPr>
            <w:i/>
            <w:rStyle w:val="Link"/>
          </w:rPr>
          <w:t xml:space="preserve">Beaumont v. Brown,</w:t>
        </w:r>
        <w:r>
          <w:rPr>
            <w:rStyle w:val="Link"/>
          </w:rPr>
          <w:t xml:space="preserve"> </w:t>
        </w:r>
        <w:r>
          <w:rPr>
            <w:rStyle w:val="Link"/>
          </w:rPr>
          <w:t xml:space="preserve">(MI 1977)</w:t>
        </w:r>
      </w:hyperlink>
      <w:r>
        <w:t xml:space="preserve">.]</w:t>
      </w:r>
    </w:p>
    <w:p>
      <w:hyperlink r:id="rId77">
        <w:r>
          <w:rPr>
            <w:rStyle w:val="Link"/>
          </w:rPr>
          <w:t xml:space="preserve">In an influential article</w:t>
        </w:r>
      </w:hyperlink>
      <w:r>
        <w:t xml:space="preserve">, Dean Prosser delineated four distinct types of the right of privacy: (1) intrusion upon one's seclusion or solitude, (2) public disclosure of embarrassing private facts, (3) publicity which places one in a false light, and (4) appropriation of one's name or likeness for the defendant's advantage.… This fourth type has become known as the "right of publicity."</w:t>
      </w:r>
      <w:r>
        <w:t xml:space="preserve"> </w:t>
      </w:r>
      <w:hyperlink r:id="rId78">
        <w:r>
          <w:rPr>
            <w:i/>
            <w:rStyle w:val="Link"/>
          </w:rPr>
          <w:t xml:space="preserve">Zacchini v. Scripps-Howard Broadcasting Co.</w:t>
        </w:r>
        <w:r>
          <w:rPr>
            <w:rStyle w:val="Link"/>
          </w:rPr>
          <w:t xml:space="preserve"> </w:t>
        </w:r>
        <w:r>
          <w:rPr>
            <w:rStyle w:val="Link"/>
          </w:rPr>
          <w:t xml:space="preserve">(S.Ct. 1977)</w:t>
        </w:r>
      </w:hyperlink>
      <w:r>
        <w:t xml:space="preserve">. Henceforth we will refer to Prosser's last, or fourth, category as the "right of publicity."</w:t>
      </w:r>
    </w:p>
    <w:p>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78">
        <w:r>
          <w:rPr>
            <w:i/>
            <w:rStyle w:val="Link"/>
          </w:rPr>
          <w:t xml:space="preserve">Zacchini, supra,</w:t>
        </w:r>
      </w:hyperlink>
      <w:r>
        <w:t xml:space="preserve">.… Thus, the right of privacy and the right of publicity protect fundamentally different interests and must be analyzed separately.</w:t>
      </w:r>
    </w:p>
    <w:p>
      <w:r>
        <w:t xml:space="preserve">We do not believe that Carson's claim that his right of privacy has been invaded is supported by the law or the facts. Apparently, the gist of this claim is that Carson is embarrassed by and considers it odious to be associated with the appellee's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9">
        <w:r>
          <w:rPr>
            <w:i/>
            <w:rStyle w:val="Link"/>
          </w:rPr>
          <w:t xml:space="preserve">Memphis Development Foundation v. Factors Etc., Inc.,</w:t>
        </w:r>
        <w:r>
          <w:rPr>
            <w:rStyle w:val="Link"/>
          </w:rPr>
          <w:t xml:space="preserve"> </w:t>
        </w:r>
        <w:r>
          <w:rPr>
            <w:rStyle w:val="Link"/>
          </w:rPr>
          <w:t xml:space="preserve">(6th Cir. 1980),</w:t>
        </w:r>
      </w:hyperlink>
      <w:r>
        <w:t xml:space="preserve"> </w:t>
      </w:r>
      <w:r>
        <w:t xml:space="preserve">we stated: "The famous have an exclusive legal right during life to control and profit from the commercial use of their name and personality."</w:t>
      </w:r>
    </w:p>
    <w:p>
      <w:r>
        <w:t xml:space="preserve">The district court dismissed appellants' claim based on the right of publicity because appellee does not use Carson's name or likeness.</w:t>
      </w:r>
      <w:r>
        <w:t xml:space="preserve"> </w:t>
      </w:r>
      <w:hyperlink r:id="rId80">
        <w:r>
          <w:rPr>
            <w:rStyle w:val="Link"/>
          </w:rPr>
          <w:t xml:space="preserve">498 F.Supp. at 77</w:t>
        </w:r>
      </w:hyperlink>
      <w:r>
        <w:t xml:space="preserve">. It held that it "would not be prudent to allow recovery for a right of publicity claim which does not more specifically identify Johnny Carson."</w:t>
      </w:r>
      <w:r>
        <w:t xml:space="preserve"> </w:t>
      </w:r>
      <w:hyperlink r:id="rId80">
        <w:r>
          <w:rPr>
            <w:rStyle w:val="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r>
        <w:t xml:space="preserve">In</w:t>
      </w:r>
      <w:r>
        <w:t xml:space="preserve"> </w:t>
      </w:r>
      <w:hyperlink r:id="rId81">
        <w:r>
          <w:rPr>
            <w:i/>
            <w:rStyle w:val="Link"/>
          </w:rPr>
          <w:t xml:space="preserve">Motschenbacher v. R.J. Reynolds Tobacco Co.,</w:t>
        </w:r>
        <w:r>
          <w:rPr>
            <w:rStyle w:val="Link"/>
          </w:rPr>
          <w:t xml:space="preserve"> </w:t>
        </w:r>
        <w:r>
          <w:rPr>
            <w:rStyle w:val="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Quote"/>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Quote"/>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r>
        <w:rPr>
          <w:i/>
        </w:rPr>
        <w:t xml:space="preserve">Id.</w:t>
      </w:r>
      <w:r>
        <w:t xml:space="preserve"> </w:t>
      </w:r>
      <w:r>
        <w:t xml:space="preserve">at 826-827 (footnote omitted).</w:t>
      </w:r>
    </w:p>
    <w:p>
      <w:r>
        <w:t xml:space="preserve">In</w:t>
      </w:r>
      <w:r>
        <w:t xml:space="preserve"> </w:t>
      </w:r>
      <w:hyperlink r:id="rId82">
        <w:r>
          <w:rPr>
            <w:i/>
            <w:rStyle w:val="Link"/>
          </w:rPr>
          <w:t xml:space="preserve">Ali v. Playgirl, Inc.,</w:t>
        </w:r>
        <w:r>
          <w:rPr>
            <w:rStyle w:val="Link"/>
          </w:rPr>
          <w:t xml:space="preserve"> </w:t>
        </w:r>
        <w:r>
          <w:rPr>
            <w:rStyle w:val="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r>
        <w:t xml:space="preserve">In</w:t>
      </w:r>
      <w:r>
        <w:t xml:space="preserve"> </w:t>
      </w:r>
      <w:hyperlink r:id="rId83">
        <w:r>
          <w:rPr>
            <w:i/>
            <w:rStyle w:val="Link"/>
          </w:rPr>
          <w:t xml:space="preserve">Hirsch v. S.C. Johnson &amp; Son, Inc.,</w:t>
        </w:r>
        <w:r>
          <w:rPr>
            <w:rStyle w:val="Link"/>
          </w:rPr>
          <w:t xml:space="preserve"> </w:t>
        </w:r>
        <w:r>
          <w:rPr>
            <w:rStyle w:val="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Quote"/>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hyperlink r:id="rId83">
        <w:r>
          <w:rPr>
            <w:rStyle w:val="Link"/>
          </w:rPr>
          <w:t xml:space="preserve">280 N.W.2d at 137</w:t>
        </w:r>
      </w:hyperlink>
      <w:r>
        <w:t xml:space="preserve">.</w:t>
      </w:r>
    </w:p>
    <w:p>
      <w:r>
        <w:t xml:space="preserve">In this case, Earl Braxton, president and owner of Here's Johnny Portable Toilets, Inc., admitted that he knew that the phrase "Here's Johnny" had been used for years to introduce Carson. Moreover, in the opening statement in the district court, appellee's counsel stated:</w:t>
      </w:r>
    </w:p>
    <w:p>
      <w:pPr>
        <w:pStyle w:val="BlockQuote"/>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w:t>
      </w:r>
      <w:r>
        <w:t xml:space="preserve"> </w:t>
      </w:r>
      <w:r>
        <w:rPr>
          <w:i/>
        </w:rPr>
        <w:t xml:space="preserve">supra</w:t>
      </w:r>
      <w:r>
        <w:t xml:space="preserve"> </w:t>
      </w:r>
      <w:r>
        <w:t xml:space="preserve">("It is the plaintiff's name as a symbol of his identity that is involved here, and not as a mere name.")]</w:t>
      </w:r>
    </w:p>
    <w:p>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 the identity of celebrities without their consent.</w:t>
      </w:r>
    </w:p>
    <w:p>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 "name, likeness, achievements, identifying characteristics or actual performances" have been appropriated for commercial purposes, we cannot see why the policies and proscriptions would be violated where, as here, the celebrity's identity has admittedly been appropriated for commercial exploitation by the use of the phrase "Here's Johnny Portable Toilets."</w:t>
      </w:r>
    </w:p>
    <w:p>
      <w:r>
        <w:t xml:space="preserve">The judgment of the district court is vacated and the case remanded for further proceedings consistent with this opinion.</w:t>
      </w:r>
    </w:p>
    <w:p>
      <w:r>
        <w:t xml:space="preserve">CORNELIA G. KENNEDY, Circuit Judge, dissenting.</w:t>
      </w:r>
    </w:p>
    <w:p>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4"/>
      </w:pPr>
      <w:bookmarkStart w:id="84" w:name="policies-behind-right-of-publicity"/>
      <w:bookmarkEnd w:id="84"/>
      <w:r>
        <w:t xml:space="preserve">Policies Behind Right of Publicity</w:t>
      </w:r>
    </w:p>
    <w:p>
      <w:r>
        <w:t xml:space="preserve">The three primary policy considerations behind the right of publicity are succinctly stated in</w:t>
      </w:r>
      <w:r>
        <w:t xml:space="preserve"> </w:t>
      </w:r>
      <w:hyperlink r:id="rId85">
        <w:r>
          <w:rPr>
            <w:rStyle w:val="Link"/>
          </w:rPr>
          <w:t xml:space="preserve">Hoffman,</w:t>
        </w:r>
        <w:r>
          <w:rPr>
            <w:rStyle w:val="Link"/>
          </w:rPr>
          <w:t xml:space="preserve"> </w:t>
        </w:r>
        <w:r>
          <w:rPr>
            <w:i/>
            <w:rStyle w:val="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78">
        <w:r>
          <w:rPr>
            <w:i/>
            <w:rStyle w:val="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78">
        <w:r>
          <w:rPr>
            <w:i/>
            <w:rStyle w:val="Link"/>
          </w:rPr>
          <w:t xml:space="preserve">Zacchini, supra,</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r>
        <w:t xml:space="preserve">The second policy goal of fostering the production of creative and intellectual works is not met by the majority's rule because in awarding publicity rights in a phrase neither created by him nor performed by him, economic reward and protection is divorced from personal incentive to produce on the part of the protected and benefited individual. Johnny Carson is simply reaping the rewards of the time, effort and work product of others.</w:t>
      </w:r>
    </w:p>
    <w:p>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6" w:name="countervailing-interests-and-considerations"/>
      <w:bookmarkEnd w:id="86"/>
      <w:r>
        <w:t xml:space="preserve">Countervailing Interests and Considerations</w:t>
      </w:r>
    </w:p>
    <w:p>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7" w:name="federal-policy-monopolies"/>
      <w:bookmarkEnd w:id="87"/>
      <w:r>
        <w:t xml:space="preserve">Federal Policy: Monopolies</w:t>
      </w:r>
    </w:p>
    <w:p>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8">
        <w:r>
          <w:rPr>
            <w:i/>
            <w:rStyle w:val="Link"/>
          </w:rPr>
          <w:t xml:space="preserve">National Society of Professional Engineers v. United States,</w:t>
        </w:r>
        <w:r>
          <w:rPr>
            <w:rStyle w:val="Link"/>
          </w:rPr>
          <w:t xml:space="preserve"> </w:t>
        </w:r>
        <w:r>
          <w:rPr>
            <w:rStyle w:val="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9">
        <w:r>
          <w:rPr>
            <w:i/>
            <w:rStyle w:val="Link"/>
          </w:rPr>
          <w:t xml:space="preserve">Memphis Development Foundation v. Factors Etc., Inc.,</w:t>
        </w:r>
        <w:r>
          <w:rPr>
            <w:rStyle w:val="Link"/>
          </w:rPr>
          <w:t xml:space="preserve"> </w:t>
        </w:r>
        <w:r>
          <w:rPr>
            <w:rStyle w:val="Link"/>
          </w:rPr>
          <w:t xml:space="preserve">616 F.2d 956 (6th Cir.),</w:t>
        </w:r>
      </w:hyperlink>
    </w:p>
    <w:p>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 trademark and patents, notice to the public is required in the form of filing with the appropriate governmental office and use of an appropriate mark. This apprises members of the public of the nature and extent of what is being removed from the public domain and subject to claims of infringement. The right of publicity provides limited notice to the public of the extent of the monopoly right to be asserted, if one is to be asserted at all. As the right of privacy is expanded beyond protections of name, likeness and actual performances, which provide relatively objective notice to the public of the extent of an individual's rights, to more subjective attributes such as achievements and identifying characteristics, the public's ability to be on notice of a common law monopoly right, if one is even asserted by a given famous individual, is severely diminished. Protecting phrases and other things merely associated with an individual provides virtually no notice to the public at all of what is claimed to be protected. By ensuring the invocation of the adjudicative process whenever the commercial use of a phrase or other associated thing is considered to have been wrongfully appropriated, the public is left to act at their peril. The result is a chilling effect on commercial innovation and opportunity.</w:t>
      </w:r>
    </w:p>
    <w:p>
      <w:r>
        <w:t xml:space="preserve">Also unlike the federal statutory monopolies, this common law monopoly right offers no protections against the monopoly existing for an indefinite time or even in perpetuity [citations omitted].</w:t>
      </w:r>
    </w:p>
    <w:p>
      <w:pPr>
        <w:pStyle w:val="Heading4"/>
      </w:pPr>
      <w:bookmarkStart w:id="89" w:name="free-expression-and-use-of-intellectual-property"/>
      <w:bookmarkEnd w:id="89"/>
      <w:r>
        <w:t xml:space="preserve">Free Expression and Use of Intellectual Property</w:t>
      </w:r>
    </w:p>
    <w:p>
      <w:r>
        <w:t xml:space="preserve">The first amendment protects the freedom of speech, including commercial speech.</w:t>
      </w:r>
      <w:r>
        <w:t xml:space="preserve"> </w:t>
      </w:r>
      <w:hyperlink r:id="rId90">
        <w:r>
          <w:rPr>
            <w:i/>
            <w:rStyle w:val="Link"/>
          </w:rPr>
          <w:t xml:space="preserve">Goldfarb v. Virginia State Bar,</w:t>
        </w:r>
        <w:r>
          <w:rPr>
            <w:rStyle w:val="Link"/>
          </w:rPr>
          <w:t xml:space="preserve"> </w:t>
        </w:r>
        <w:r>
          <w:rPr>
            <w:rStyle w:val="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w:t>
      </w:r>
      <w:r>
        <w:t xml:space="preserve"> </w:t>
      </w:r>
      <w:hyperlink r:id="rId78">
        <w:r>
          <w:rPr>
            <w:i/>
            <w:rStyle w:val="Link"/>
          </w:rPr>
          <w:t xml:space="preserve">Zacchini, supra,</w:t>
        </w:r>
      </w:hyperlink>
      <w:r>
        <w:t xml:space="preserve"> </w:t>
      </w:r>
      <w:r>
        <w:t xml:space="preserve">(purpose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78">
        <w:r>
          <w:rPr>
            <w:i/>
            <w:rStyle w:val="Link"/>
          </w:rPr>
          <w:t xml:space="preserve">Zacchini, supra,</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91" w:name="white-v.-samsung-electronics-america-inc."/>
      <w:bookmarkEnd w:id="91"/>
      <w:r>
        <w:rPr>
          <w:i/>
        </w:rPr>
        <w:t xml:space="preserve">White v. Samsung Electronics America, Inc.</w:t>
      </w:r>
    </w:p>
    <w:p>
      <w:pPr>
        <w:pStyle w:val="Heading6"/>
      </w:pPr>
      <w:bookmarkStart w:id="92" w:name="us-court-of-appeals-9th-circuit-1992"/>
      <w:bookmarkEnd w:id="92"/>
      <w:r>
        <w:t xml:space="preserve">US Court of Appeals, 9th Circuit (1992)</w:t>
      </w:r>
    </w:p>
    <w:p>
      <w:pPr>
        <w:pStyle w:val="Compact"/>
        <w:numPr>
          <w:numId w:val="1006"/>
          <w:ilvl w:val="0"/>
        </w:numPr>
      </w:pPr>
      <w:hyperlink r:id="rId93">
        <w:r>
          <w:rPr>
            <w:rStyle w:val="Link"/>
          </w:rPr>
          <w:t xml:space="preserve">case on Google Scholar</w:t>
        </w:r>
      </w:hyperlink>
    </w:p>
    <w:p>
      <w:pPr>
        <w:pStyle w:val="Compact"/>
        <w:numPr>
          <w:numId w:val="1006"/>
          <w:ilvl w:val="0"/>
        </w:numPr>
      </w:pPr>
      <w:hyperlink r:id="rId94">
        <w:r>
          <w:rPr>
            <w:rStyle w:val="Link"/>
          </w:rPr>
          <w:t xml:space="preserve">case on Westlaw</w:t>
        </w:r>
      </w:hyperlink>
    </w:p>
    <w:p>
      <w:pPr>
        <w:pStyle w:val="Compact"/>
        <w:numPr>
          <w:numId w:val="1006"/>
          <w:ilvl w:val="0"/>
        </w:numPr>
      </w:pPr>
      <w:hyperlink r:id="rId95">
        <w:r>
          <w:rPr>
            <w:rStyle w:val="Link"/>
          </w:rPr>
          <w:t xml:space="preserve">Pace Law Review Casenote</w:t>
        </w:r>
      </w:hyperlink>
      <w:r>
        <w:t xml:space="preserve">.</w:t>
      </w:r>
    </w:p>
    <w:p>
      <w:r>
        <w:t xml:space="preserve">GOODWIN, Circuit Judge</w:t>
      </w:r>
    </w:p>
    <w:p>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r>
        <w:t xml:space="preserve">Following the circulation of the robot ad, White sued Samsung and Deutsch in federal district court under: (1) California Civil Code § 3344; (2) the California common law right of publicity; and (3) § 43(a) of the Lanham Act, 15 U.S.C. § 1125(a). The district court granted summary judgment against White on each of her claims. White now appeals.</w:t>
      </w:r>
    </w:p>
    <w:p>
      <w:pPr>
        <w:pStyle w:val="Heading4"/>
      </w:pPr>
      <w:bookmarkStart w:id="96" w:name="i.-section-3344"/>
      <w:bookmarkEnd w:id="96"/>
      <w:r>
        <w:t xml:space="preserve">I.</w:t>
      </w:r>
      <w:r>
        <w:t xml:space="preserve"> </w:t>
      </w:r>
      <w:r>
        <w:rPr>
          <w:i/>
        </w:rPr>
        <w:t xml:space="preserve">Section 3344</w:t>
      </w:r>
    </w:p>
    <w:p>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r>
        <w:t xml:space="preserve">White argues that the Samsung advertisement used her "likeness" in contravention of section 3344. In</w:t>
      </w:r>
      <w:r>
        <w:t xml:space="preserve"> </w:t>
      </w:r>
      <w:hyperlink r:id="rId97">
        <w:r>
          <w:rPr>
            <w:i/>
            <w:rStyle w:val="Link"/>
          </w:rPr>
          <w:t xml:space="preserve">Midler v. Ford Motor Co.</w:t>
        </w:r>
        <w:r>
          <w:rPr>
            <w:rStyle w:val="Link"/>
          </w:rPr>
          <w:t xml:space="preserve"> </w:t>
        </w:r>
        <w:r>
          <w:rPr>
            <w:rStyle w:val="Link"/>
          </w:rPr>
          <w:t xml:space="preserve">(9th Cir.1988),</w:t>
        </w:r>
      </w:hyperlink>
      <w:r>
        <w:t xml:space="preserve"> </w:t>
      </w:r>
      <w:r>
        <w:t xml:space="preserve">this court rejected Bette Midler's section 3344 claim concerning a Ford television commercial in which a Midler "sound-alike" sang a song which Midler had made famous. In rejecting Midler's claim, this court noted that "[t]he defendants did not use Midler's name or anything else whose use is prohibited by the statute. The voice they used was [another person's], not hers. The term 'likeness' refers to a visual image not a vocal imitation."</w:t>
      </w:r>
      <w:r>
        <w:t xml:space="preserve"> </w:t>
      </w:r>
      <w:r>
        <w:rPr>
          <w:i/>
        </w:rPr>
        <w:t xml:space="preserve">Id.</w:t>
      </w:r>
      <w:r>
        <w:t xml:space="preserve"> </w:t>
      </w:r>
      <w:r>
        <w:t xml:space="preserve">at 463.</w:t>
      </w:r>
    </w:p>
    <w:p>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98" w:name="ii.-right-of-publicity"/>
      <w:bookmarkEnd w:id="98"/>
      <w:r>
        <w:t xml:space="preserve">II.</w:t>
      </w:r>
      <w:r>
        <w:t xml:space="preserve"> </w:t>
      </w:r>
      <w:r>
        <w:rPr>
          <w:i/>
        </w:rPr>
        <w:t xml:space="preserve">Right of Publicity</w:t>
      </w:r>
    </w:p>
    <w:p>
      <w:r>
        <w:t xml:space="preserve">White next argues that the district court erred in granting summary judgment to defendants on White's common law right of publicity claim. In</w:t>
      </w:r>
      <w:r>
        <w:t xml:space="preserve"> </w:t>
      </w:r>
      <w:hyperlink r:id="rId99">
        <w:r>
          <w:rPr>
            <w:i/>
            <w:rStyle w:val="Link"/>
          </w:rPr>
          <w:t xml:space="preserve">Eastwood v. Superior Court,</w:t>
        </w:r>
        <w:r>
          <w:rPr>
            <w:rStyle w:val="Link"/>
          </w:rPr>
          <w:t xml:space="preserve"> </w:t>
        </w:r>
        <w:r>
          <w:rPr>
            <w:rStyle w:val="Link"/>
          </w:rPr>
          <w:t xml:space="preserve">(1983),</w:t>
        </w:r>
      </w:hyperlink>
      <w:r>
        <w:t xml:space="preserve"> </w:t>
      </w:r>
      <w:r>
        <w:t xml:space="preserve">the California court of appeal stated that the common law right of publicity cause of action "may be pleaded by alleging:</w:t>
      </w:r>
    </w:p>
    <w:p>
      <w:pPr>
        <w:pStyle w:val="Compact"/>
        <w:numPr>
          <w:numId w:val="1007"/>
          <w:ilvl w:val="0"/>
        </w:numPr>
      </w:pPr>
      <w:r>
        <w:t xml:space="preserve">the defendant's use of the plaintiff's identity;</w:t>
      </w:r>
    </w:p>
    <w:p>
      <w:pPr>
        <w:pStyle w:val="Compact"/>
        <w:numPr>
          <w:numId w:val="1007"/>
          <w:ilvl w:val="0"/>
        </w:numPr>
      </w:pPr>
      <w:r>
        <w:t xml:space="preserve">the appropriation of plaintiff's name or likeness to defendant's advantage, commercially or otherwise;</w:t>
      </w:r>
    </w:p>
    <w:p>
      <w:pPr>
        <w:pStyle w:val="Compact"/>
        <w:numPr>
          <w:numId w:val="1007"/>
          <w:ilvl w:val="0"/>
        </w:numPr>
      </w:pPr>
      <w:r>
        <w:t xml:space="preserve">lack of consent; and</w:t>
      </w:r>
    </w:p>
    <w:p>
      <w:pPr>
        <w:pStyle w:val="Compact"/>
        <w:numPr>
          <w:numId w:val="1007"/>
          <w:ilvl w:val="0"/>
        </w:numPr>
      </w:pPr>
      <w:r>
        <w:t xml:space="preserve">resulting injury."</w:t>
      </w:r>
    </w:p>
    <w:p>
      <w:r>
        <w:rPr>
          <w:i/>
        </w:rPr>
        <w:t xml:space="preserve">Id.</w:t>
      </w:r>
      <w:r>
        <w:t xml:space="preserve"> </w:t>
      </w:r>
      <w:r>
        <w:t xml:space="preserve">at 417.&amp;…; The district court dismissed White's claim for failure to satisfy</w:t>
      </w:r>
      <w:r>
        <w:t xml:space="preserve"> </w:t>
      </w:r>
      <w:r>
        <w:rPr>
          <w:i/>
        </w:rPr>
        <w:t xml:space="preserve">Eastwood's</w:t>
      </w:r>
      <w:r>
        <w:t xml:space="preserve"> </w:t>
      </w:r>
      <w:r>
        <w:t xml:space="preserve">second prong, reasoning that defendants had not appropriated White's "name or likeness" with their robot ad. We agree that the robot ad did not make use of White's name or likeness. However, the common law right of publicity is not so confined.</w:t>
      </w:r>
    </w:p>
    <w:p>
      <w:r>
        <w:t xml:space="preserve">The</w:t>
      </w:r>
      <w:r>
        <w:t xml:space="preserve"> </w:t>
      </w:r>
      <w:r>
        <w:rPr>
          <w:i/>
        </w:rPr>
        <w:t xml:space="preserve">Eastwood</w:t>
      </w:r>
      <w:r>
        <w:t xml:space="preserve"> </w:t>
      </w:r>
      <w:r>
        <w:t xml:space="preserve">court did not hold that the right of publicity cause of action could be pleaded only by alleging an appropriation of name or likeness.</w:t>
      </w:r>
      <w:r>
        <w:t xml:space="preserve"> </w:t>
      </w:r>
      <w:r>
        <w:rPr>
          <w:i/>
        </w:rPr>
        <w:t xml:space="preserve">Eastwood</w:t>
      </w:r>
      <w:r>
        <w:t xml:space="preserve"> </w:t>
      </w:r>
      <w:r>
        <w:t xml:space="preserve">involved an unauthorized use of photographs of Clint Eastwood and of his name. Accordingly, the</w:t>
      </w:r>
      <w:r>
        <w:t xml:space="preserve"> </w:t>
      </w:r>
      <w:r>
        <w:rPr>
          <w:i/>
        </w:rPr>
        <w:t xml:space="preserve">Eastwood</w:t>
      </w:r>
      <w:r>
        <w:t xml:space="preserve"> </w:t>
      </w:r>
      <w:r>
        <w:t xml:space="preserve">court had no occasion to consider the extent beyond the use of name or likeness to which the right of publicity reaches. That court held only that the right of publicity cause of action "may be" pleaded by alleging,</w:t>
      </w:r>
      <w:r>
        <w:t xml:space="preserve"> </w:t>
      </w:r>
      <w:r>
        <w:rPr>
          <w:i/>
        </w:rPr>
        <w:t xml:space="preserve">inter alia,</w:t>
      </w:r>
      <w:r>
        <w:t xml:space="preserve"> </w:t>
      </w:r>
      <w:r>
        <w:t xml:space="preserve">appropriation of name or likeness, not that the action may be pleaded</w:t>
      </w:r>
      <w:r>
        <w:t xml:space="preserve"> </w:t>
      </w:r>
      <w:r>
        <w:rPr>
          <w:i/>
        </w:rPr>
        <w:t xml:space="preserve">only</w:t>
      </w:r>
      <w:r>
        <w:t xml:space="preserve"> </w:t>
      </w:r>
      <w:r>
        <w:t xml:space="preserve">in those terms.</w:t>
      </w:r>
    </w:p>
    <w:p>
      <w:r>
        <w:t xml:space="preserve">The "name or likeness" formulation referred to in</w:t>
      </w:r>
      <w:r>
        <w:t xml:space="preserve"> </w:t>
      </w:r>
      <w:r>
        <w:rPr>
          <w:i/>
        </w:rPr>
        <w:t xml:space="preserve">Eastwood</w:t>
      </w:r>
      <w:r>
        <w:t xml:space="preserve"> </w:t>
      </w:r>
      <w:r>
        <w:t xml:space="preserve">originated not as an element of the right of publicity cause of action, but as a description of the types of cases in which the cause of action had been recognized. The source of this formulation is Prosser,</w:t>
      </w:r>
      <w:r>
        <w:t xml:space="preserve"> </w:t>
      </w:r>
      <w:r>
        <w:rPr>
          <w:i/>
        </w:rPr>
        <w:t xml:space="preserve">Privacy,</w:t>
      </w:r>
      <w:r>
        <w:t xml:space="preserve"> </w:t>
      </w:r>
      <w:r>
        <w:t xml:space="preserve">48 Cal.L.Rev. 383, 401-07 (1960), one of the earliest and most enduring articulations of the common law right of publicity cause of action. In looking at the case law to that point, Prosser recognized that right of publicity cases involved one of two basic factual scenarios: name appropriation, and picture or other likeness appropriation.</w:t>
      </w:r>
      <w:r>
        <w:t xml:space="preserve"> </w:t>
      </w:r>
      <w:r>
        <w:rPr>
          <w:i/>
        </w:rPr>
        <w:t xml:space="preserve">Id.</w:t>
      </w:r>
      <w:r>
        <w:t xml:space="preserve"> </w:t>
      </w:r>
      <w:r>
        <w:t xml:space="preserve">at 401-02, nn. 156-57.</w:t>
      </w:r>
    </w:p>
    <w:p>
      <w:r>
        <w:t xml:space="preserve">Even though Prosser focused on appropriations of name or likeness in discussing the right of publicity, he noted that "[i]t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r>
        <w:t xml:space="preserve">Since Prosser's early formulation, the case law has borne out his insight that the right of publicity is not limited to the appropriation of name or likeness. In</w:t>
      </w:r>
      <w:r>
        <w:t xml:space="preserve"> </w:t>
      </w:r>
      <w:hyperlink r:id="rId81">
        <w:r>
          <w:rPr>
            <w:i/>
            <w:rStyle w:val="Link"/>
          </w:rPr>
          <w:t xml:space="preserve">Motschenbacher v. R.J. Reynolds Tobacco Co.,</w:t>
        </w:r>
        <w:r>
          <w:rPr>
            <w:rStyle w:val="Link"/>
          </w:rPr>
          <w:t xml:space="preserve"> </w:t>
        </w:r>
        <w:r>
          <w:rPr>
            <w:rStyle w:val="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r>
        <w:t xml:space="preserve">In</w:t>
      </w:r>
      <w:r>
        <w:t xml:space="preserve"> </w:t>
      </w:r>
      <w:hyperlink r:id="rId72">
        <w:r>
          <w:rPr>
            <w:i/>
            <w:rStyle w:val="Link"/>
          </w:rPr>
          <w:t xml:space="preserve">Carson v. Here's Johnny Portable Toilets, Inc.,</w:t>
        </w:r>
        <w:r>
          <w:rPr>
            <w:rStyle w:val="Link"/>
          </w:rPr>
          <w:t xml:space="preserve"> </w:t>
        </w:r>
        <w:r>
          <w:rPr>
            <w:rStyle w:val="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Quote"/>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hyperlink r:id="rId72">
        <w:r>
          <w:rPr>
            <w:i/>
            <w:rStyle w:val="Link"/>
          </w:rPr>
          <w:t xml:space="preserve">Carson</w:t>
        </w:r>
      </w:hyperlink>
      <w:r>
        <w:t xml:space="preserve">.</w:t>
      </w:r>
    </w:p>
    <w:p>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 "Bulls" or "Jordan" 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 "Vanna White" ad. We are not surprised.</w:t>
      </w:r>
    </w:p>
    <w:p>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r>
        <w:t xml:space="preserve">[Court's discussion of Lanham Act claim omitted]</w:t>
      </w:r>
    </w:p>
    <w:p>
      <w:pPr>
        <w:pStyle w:val="Heading4"/>
      </w:pPr>
      <w:bookmarkStart w:id="100" w:name="iv.-the-parody-defense"/>
      <w:bookmarkEnd w:id="100"/>
      <w:r>
        <w:t xml:space="preserve">IV.</w:t>
      </w:r>
      <w:r>
        <w:t xml:space="preserve"> </w:t>
      </w:r>
      <w:r>
        <w:rPr>
          <w:i/>
        </w:rPr>
        <w:t xml:space="preserve">The Parody Defense</w:t>
      </w:r>
    </w:p>
    <w:p>
      <w:r>
        <w:t xml:space="preserve">In defense, defendants cite a number of cases for the proposition that their robot ad constituted protected speech. The only cases they cite which are even remotely relevant to this case are</w:t>
      </w:r>
      <w:r>
        <w:t xml:space="preserve"> </w:t>
      </w:r>
      <w:hyperlink r:id="rId101">
        <w:r>
          <w:rPr>
            <w:i/>
            <w:rStyle w:val="Link"/>
          </w:rPr>
          <w:t xml:space="preserve">Hustler Magazine v. Falwell,</w:t>
        </w:r>
        <w:r>
          <w:rPr>
            <w:rStyle w:val="Link"/>
          </w:rPr>
          <w:t xml:space="preserve"> </w:t>
        </w:r>
        <w:r>
          <w:rPr>
            <w:rStyle w:val="Link"/>
          </w:rPr>
          <w:t xml:space="preserve">(S.Ct. 1988)</w:t>
        </w:r>
      </w:hyperlink>
      <w:r>
        <w:t xml:space="preserve"> </w:t>
      </w:r>
      <w:r>
        <w:t xml:space="preserve">and</w:t>
      </w:r>
      <w:r>
        <w:t xml:space="preserve"> </w:t>
      </w:r>
      <w:hyperlink r:id="rId102">
        <w:r>
          <w:rPr>
            <w:i/>
            <w:rStyle w:val="Link"/>
          </w:rPr>
          <w:t xml:space="preserve">L.L. Bean, Inc. v. Drake Publishers, Inc.,</w:t>
        </w:r>
        <w:r>
          <w:rPr>
            <w:rStyle w:val="Link"/>
          </w:rPr>
          <w:t xml:space="preserve"> </w:t>
        </w:r>
        <w:r>
          <w:rPr>
            <w:rStyle w:val="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103" w:name="v.-conclusion"/>
      <w:bookmarkEnd w:id="103"/>
      <w:r>
        <w:t xml:space="preserve">V.</w:t>
      </w:r>
      <w:r>
        <w:t xml:space="preserve"> </w:t>
      </w:r>
      <w:r>
        <w:rPr>
          <w:i/>
        </w:rPr>
        <w:t xml:space="preserve">Conclusion</w:t>
      </w:r>
    </w:p>
    <w:p>
      <w:r>
        <w:t xml:space="preserve">In remanding this case, we hold only that White has pleaded claims which can go to the jury for its decision.</w:t>
      </w:r>
    </w:p>
    <w:p>
      <w:r>
        <w:t xml:space="preserve">AFFIRMED IN PART, REVERSED IN PART, and REMANDED.</w:t>
      </w:r>
    </w:p>
    <w:p>
      <w:pPr>
        <w:pStyle w:val="Heading4"/>
      </w:pPr>
      <w:bookmarkStart w:id="104" w:name="dissent"/>
      <w:bookmarkEnd w:id="104"/>
      <w:r>
        <w:t xml:space="preserve">Dissent</w:t>
      </w:r>
    </w:p>
    <w:p>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5" w:name="white-v.-samsung-electronics-inc."/>
      <w:bookmarkEnd w:id="105"/>
      <w:r>
        <w:t xml:space="preserve">White v. Samsung Electronics, Inc.</w:t>
      </w:r>
    </w:p>
    <w:p>
      <w:pPr>
        <w:pStyle w:val="Heading6"/>
      </w:pPr>
      <w:bookmarkStart w:id="106" w:name="us-court-of-appeals-9th-circuit-1993"/>
      <w:bookmarkEnd w:id="106"/>
      <w:r>
        <w:t xml:space="preserve">US Court of Appeals, 9th Circuit (1993)</w:t>
      </w:r>
    </w:p>
    <w:p>
      <w:pPr>
        <w:pStyle w:val="Compact"/>
        <w:numPr>
          <w:numId w:val="1008"/>
          <w:ilvl w:val="0"/>
        </w:numPr>
      </w:pPr>
      <w:hyperlink r:id="rId93">
        <w:r>
          <w:rPr>
            <w:rStyle w:val="Link"/>
          </w:rPr>
          <w:t xml:space="preserve">case on Google scholar</w:t>
        </w:r>
      </w:hyperlink>
    </w:p>
    <w:p>
      <w:r>
        <w:t xml:space="preserve">KOZINSKI, Circuit Judge, with whom Circuit Judges O'SCANNLAIN and KLEINFELD join, dissenting from the order rejecting the suggestion for rehearing en banc.</w:t>
      </w:r>
    </w:p>
    <w:p>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 — anything that "evoke[s]" her personality.</w:t>
      </w:r>
      <w:r>
        <w:t xml:space="preserve"> </w:t>
      </w:r>
      <w:r>
        <w:rPr>
          <w:i/>
        </w:rPr>
        <w:t xml:space="preserve">Id.</w:t>
      </w:r>
    </w:p>
    <w:p>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 — a brunette woman, a man wearing women's clothes, a monkey in a wig and gown — 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r>
        <w:t xml:space="preserve">To paraphrase only slightly</w:t>
      </w:r>
      <w:r>
        <w:t xml:space="preserve"> </w:t>
      </w:r>
      <w:hyperlink r:id="rId107">
        <w:r>
          <w:rPr>
            <w:i/>
            <w:rStyle w:val="Link"/>
          </w:rPr>
          <w:t xml:space="preserve">Feist Publications, Inc. v. Rural Telephone Service Co.,</w:t>
        </w:r>
        <w:r>
          <w:rPr>
            <w:rStyle w:val="Link"/>
          </w:rPr>
          <w:t xml:space="preserve"> </w:t>
        </w:r>
        <w:r>
          <w:rPr>
            <w:rStyle w:val="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r>
        <w:t xml:space="preserve">Copyright law specifically gives the world at large the right to make "fair use" parodies, parodies that don't borrow too much of the original.</w:t>
      </w:r>
      <w:r>
        <w:t xml:space="preserve"> </w:t>
      </w:r>
      <w:hyperlink r:id="rId108">
        <w:r>
          <w:rPr>
            <w:i/>
            <w:rStyle w:val="Link"/>
          </w:rPr>
          <w:t xml:space="preserve">Fisher v. Dees</w:t>
        </w:r>
        <w:r>
          <w:rPr>
            <w:rStyle w:val="Link"/>
          </w:rPr>
          <w:t xml:space="preserve"> </w:t>
        </w:r>
        <w:r>
          <w:rPr>
            <w:rStyle w:val="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09">
        <w:r>
          <w:rPr>
            <w:i/>
            <w:rStyle w:val="Link"/>
          </w:rPr>
          <w:t xml:space="preserve">Acuff-Rose Music, Inc. v. Campbell</w:t>
        </w:r>
        <w:r>
          <w:rPr>
            <w:rStyle w:val="Link"/>
          </w:rPr>
          <w:t xml:space="preserve"> </w:t>
        </w:r>
        <w:r>
          <w:rPr>
            <w:rStyle w:val="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 .</w:t>
      </w:r>
    </w:p>
    <w:p>
      <w:pPr>
        <w:pStyle w:val="Heading2"/>
      </w:pPr>
      <w:bookmarkStart w:id="110" w:name="criminal-celebrities"/>
      <w:bookmarkEnd w:id="110"/>
      <w:r>
        <w:t xml:space="preserve">Criminal Celebrities</w:t>
      </w:r>
    </w:p>
    <w:p>
      <w:pPr>
        <w:pStyle w:val="Heading3"/>
      </w:pPr>
      <w:bookmarkStart w:id="111" w:name="simon-schuster-inc.-v.-members-of-ny-state-crime-victims-bd."/>
      <w:bookmarkEnd w:id="111"/>
      <w:r>
        <w:rPr>
          <w:i/>
        </w:rPr>
        <w:t xml:space="preserve">Simon &amp; Schuster, Inc. v. Members of NY State Crime Victims Bd.</w:t>
      </w:r>
    </w:p>
    <w:p>
      <w:pPr>
        <w:pStyle w:val="Heading5"/>
      </w:pPr>
      <w:bookmarkStart w:id="112" w:name="united-states-supreme-court-1991"/>
      <w:bookmarkEnd w:id="112"/>
      <w:r>
        <w:t xml:space="preserve">United States Supreme Court (1991)</w:t>
      </w:r>
    </w:p>
    <w:p>
      <w:pPr>
        <w:pStyle w:val="Compact"/>
        <w:numPr>
          <w:numId w:val="1009"/>
          <w:ilvl w:val="0"/>
        </w:numPr>
      </w:pPr>
      <w:hyperlink r:id="rId113">
        <w:r>
          <w:rPr>
            <w:rStyle w:val="Link"/>
          </w:rPr>
          <w:t xml:space="preserve">Case on Google Scholar</w:t>
        </w:r>
      </w:hyperlink>
    </w:p>
    <w:p>
      <w:pPr>
        <w:pStyle w:val="Compact"/>
        <w:numPr>
          <w:numId w:val="1009"/>
          <w:ilvl w:val="0"/>
        </w:numPr>
      </w:pPr>
      <w:hyperlink r:id="rId114">
        <w:r>
          <w:rPr>
            <w:rStyle w:val="Link"/>
          </w:rPr>
          <w:t xml:space="preserve">Case on Westlaw</w:t>
        </w:r>
      </w:hyperlink>
    </w:p>
    <w:p>
      <w:pPr>
        <w:pStyle w:val="Compact"/>
        <w:numPr>
          <w:numId w:val="1009"/>
          <w:ilvl w:val="0"/>
        </w:numPr>
      </w:pPr>
      <w:hyperlink r:id="rId115">
        <w:r>
          <w:rPr>
            <w:rStyle w:val="Link"/>
          </w:rPr>
          <w:t xml:space="preserve">Casebrief</w:t>
        </w:r>
      </w:hyperlink>
    </w:p>
    <w:p>
      <w:r>
        <w:t xml:space="preserve">Justice O'Connor delivered the opinion of the Court.</w:t>
      </w:r>
    </w:p>
    <w:p>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6" w:name="i.a."/>
      <w:bookmarkEnd w:id="116"/>
      <w:r>
        <w:t xml:space="preserve">I.A.</w:t>
      </w:r>
    </w:p>
    <w:p>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Quote"/>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Quote"/>
      </w:pPr>
      <w:r>
        <w:t xml:space="preserve">Memorandum of Sen. Emanuel R. Gold, reprinted in New York State Legislative Annual, 1977.</w:t>
      </w:r>
    </w:p>
    <w:p>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Quote"/>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This 5-year period in which to bring a civil action against the convicted person begins to run when the escrow account is established, and supersedes any limitations period that expires earlier.…</w:t>
      </w:r>
    </w:p>
    <w:p>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r>
        <w:t xml:space="preserve">This case began in 1986, when the Board first became aware of the contract between petitioner Simon &amp; Schuster and admitted organized crime figure Henry Hill.</w:t>
      </w:r>
    </w:p>
    <w:p>
      <w:pPr>
        <w:pStyle w:val="Heading3"/>
      </w:pPr>
      <w:bookmarkStart w:id="117" w:name="i.b."/>
      <w:bookmarkEnd w:id="117"/>
      <w:r>
        <w:t xml:space="preserve">I.B.</w:t>
      </w:r>
    </w:p>
    <w:p>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r>
        <w:t xml:space="preserve">Hill was arrested in 1980. In exchange for immunity from prosecution, he testified against many of his former colleagues. Since his arrest, he has lived under an assumed name in an unknown part of the country.</w:t>
      </w:r>
    </w:p>
    <w:p>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Quote"/>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Quote"/>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Quote"/>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r>
        <w:t xml:space="preserve">From Henry Hill's perspective, however, the publicity generated by the book's success proved less desirable. The Crime Victims Board learned of Wiseguy in January 1986, soon after it was published.</w:t>
      </w:r>
    </w:p>
    <w:p>
      <w:pPr>
        <w:pStyle w:val="Heading3"/>
      </w:pPr>
      <w:bookmarkStart w:id="118" w:name="i.c."/>
      <w:bookmarkEnd w:id="118"/>
      <w:r>
        <w:t xml:space="preserve">I.C.</w:t>
      </w:r>
    </w:p>
    <w:p>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9" w:name="ii.a."/>
      <w:bookmarkEnd w:id="119"/>
      <w:r>
        <w:t xml:space="preserve">II.A.</w:t>
      </w:r>
    </w:p>
    <w:p>
      <w:r>
        <w:t xml:space="preserve">A statute is presumptively inconsistent with the First Amendment if it imposes a financial burden on speakers because of the content of their speech.</w:t>
      </w:r>
      <w:r>
        <w:t xml:space="preserve"> </w:t>
      </w:r>
      <w:hyperlink r:id="rId120">
        <w:r>
          <w:rPr>
            <w:i/>
            <w:rStyle w:val="Link"/>
          </w:rPr>
          <w:t xml:space="preserve">Leathers v. Medlock,</w:t>
        </w:r>
        <w:r>
          <w:rPr>
            <w:rStyle w:val="Link"/>
          </w:rPr>
          <w:t xml:space="preserve"> </w:t>
        </w:r>
        <w:r>
          <w:rPr>
            <w:rStyle w:val="Link"/>
          </w:rPr>
          <w:t xml:space="preserve">(S.Ct. 1991)</w:t>
        </w:r>
      </w:hyperlink>
      <w:r>
        <w:t xml:space="preserve">. As we emphasized in invalidating a content-based magazine tax: "[O]fficial scrutiny of the content of publications as the basis for imposing a tax is entirely incompatible with the First Amendment's guarantee of freedom of the press."</w:t>
      </w:r>
      <w:r>
        <w:t xml:space="preserve"> </w:t>
      </w:r>
      <w:hyperlink r:id="rId121">
        <w:r>
          <w:rPr>
            <w:i/>
            <w:rStyle w:val="Link"/>
          </w:rPr>
          <w:t xml:space="preserve">Arkansas Writers' Project, Inc. v. Ragland,</w:t>
        </w:r>
        <w:r>
          <w:rPr>
            <w:rStyle w:val="Link"/>
          </w:rPr>
          <w:t xml:space="preserve"> </w:t>
        </w:r>
        <w:r>
          <w:rPr>
            <w:rStyle w:val="Link"/>
          </w:rPr>
          <w:t xml:space="preserve">(S.Ct. 1987)</w:t>
        </w:r>
      </w:hyperlink>
      <w:r>
        <w:t xml:space="preserve">.</w:t>
      </w:r>
    </w:p>
    <w:p>
      <w:r>
        <w:t xml:space="preserve">This is a notion so engrained in our First Amendment jurisprudence that last Term we found it so "obvious" as to not require explanation.</w:t>
      </w:r>
      <w:r>
        <w:t xml:space="preserve"> </w:t>
      </w:r>
      <w:hyperlink r:id="rId120">
        <w:r>
          <w:rPr>
            <w:i/>
            <w:rStyle w:val="Link"/>
          </w:rPr>
          <w:t xml:space="preserve">Leathers, supra,</w:t>
        </w:r>
      </w:hyperlink>
      <w:r>
        <w:t xml:space="preserve">. It is but one manifestation of a far broader principle: "Regulations which permit the Government to discriminate on the basis of the content of the message cannot be tolerated under the First Amendment."</w:t>
      </w:r>
      <w:r>
        <w:t xml:space="preserve"> </w:t>
      </w:r>
      <w:hyperlink r:id="rId122">
        <w:r>
          <w:rPr>
            <w:i/>
            <w:rStyle w:val="Link"/>
          </w:rPr>
          <w:t xml:space="preserve">Regan v. Time, Inc.,</w:t>
        </w:r>
        <w:r>
          <w:rPr>
            <w:rStyle w:val="Link"/>
          </w:rPr>
          <w:t xml:space="preserve"> </w:t>
        </w:r>
        <w:r>
          <w:rPr>
            <w:rStyle w:val="Link"/>
          </w:rPr>
          <w:t xml:space="preserve">(S.Ct. 1984)</w:t>
        </w:r>
      </w:hyperlink>
      <w:r>
        <w:t xml:space="preserve">. See also</w:t>
      </w:r>
      <w:r>
        <w:t xml:space="preserve"> </w:t>
      </w:r>
      <w:hyperlink r:id="rId123">
        <w:r>
          <w:rPr>
            <w:i/>
            <w:rStyle w:val="Link"/>
          </w:rPr>
          <w:t xml:space="preserve">Police Dept. of Chicago v. Mosley,</w:t>
        </w:r>
        <w:r>
          <w:rPr>
            <w:rStyle w:val="Link"/>
          </w:rPr>
          <w:t xml:space="preserve"> </w:t>
        </w:r>
        <w:r>
          <w:rPr>
            <w:rStyle w:val="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20">
        <w:r>
          <w:rPr>
            <w:i/>
            <w:rStyle w:val="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r>
        <w:t xml:space="preserve"> </w:t>
      </w:r>
      <w:r>
        <w:rPr>
          <w:i/>
        </w:rPr>
        <w:t xml:space="preserve">Id.,</w:t>
      </w:r>
      <w:r>
        <w:t xml:space="preserve"> </w:t>
      </w:r>
      <w:r>
        <w:t xml:space="preserve">at 448-449 (quoting</w:t>
      </w:r>
      <w:r>
        <w:t xml:space="preserve"> </w:t>
      </w:r>
      <w:hyperlink r:id="rId124">
        <w:r>
          <w:rPr>
            <w:i/>
            <w:rStyle w:val="Link"/>
          </w:rPr>
          <w:t xml:space="preserve">Cohen v. California,</w:t>
        </w:r>
        <w:r>
          <w:rPr>
            <w:rStyle w:val="Link"/>
          </w:rPr>
          <w:t xml:space="preserve"> </w:t>
        </w:r>
        <w:r>
          <w:rPr>
            <w:rStyle w:val="Link"/>
          </w:rPr>
          <w:t xml:space="preserve">(S.Ct. 1971)</w:t>
        </w:r>
      </w:hyperlink>
      <w:r>
        <w:t xml:space="preserve">).</w:t>
      </w:r>
    </w:p>
    <w:p>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r>
        <w:t xml:space="preserve"> </w:t>
      </w:r>
      <w:hyperlink r:id="rId121">
        <w:r>
          <w:rPr>
            <w:i/>
            <w:rStyle w:val="Link"/>
          </w:rPr>
          <w:t xml:space="preserve">Arkansas Writers' Project,</w:t>
        </w:r>
      </w:hyperlink>
      <w:r>
        <w:t xml:space="preserve">.</w:t>
      </w:r>
    </w:p>
    <w:p>
      <w:pPr>
        <w:pStyle w:val="Heading3"/>
      </w:pPr>
      <w:bookmarkStart w:id="125" w:name="ii.b."/>
      <w:bookmarkEnd w:id="125"/>
      <w:r>
        <w:t xml:space="preserve">II.B.</w:t>
      </w:r>
    </w:p>
    <w:p>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 "</w:t>
      </w:r>
      <w:r>
        <w:t xml:space="preserve"> </w:t>
      </w:r>
      <w:hyperlink r:id="rId101">
        <w:r>
          <w:rPr>
            <w:i/>
            <w:rStyle w:val="Link"/>
          </w:rPr>
          <w:t xml:space="preserve">Hustler Magazine, Inc. v. Falwell,</w:t>
        </w:r>
        <w:r>
          <w:rPr>
            <w:rStyle w:val="Link"/>
          </w:rPr>
          <w:t xml:space="preserve"> </w:t>
        </w:r>
        <w:r>
          <w:rPr>
            <w:rStyle w:val="Link"/>
          </w:rPr>
          <w:t xml:space="preserve">(S.Ct. 1988)</w:t>
        </w:r>
      </w:hyperlink>
      <w:r>
        <w:t xml:space="preserve"> </w:t>
      </w:r>
      <w:r>
        <w:t xml:space="preserve">(quoting</w:t>
      </w:r>
      <w:r>
        <w:t xml:space="preserve"> </w:t>
      </w:r>
      <w:hyperlink r:id="rId126">
        <w:r>
          <w:rPr>
            <w:i/>
            <w:rStyle w:val="Link"/>
          </w:rPr>
          <w:t xml:space="preserve">FCC v. Pacifica Foundation,</w:t>
        </w:r>
        <w:r>
          <w:rPr>
            <w:rStyle w:val="Link"/>
          </w:rPr>
          <w:t xml:space="preserve"> </w:t>
        </w:r>
        <w:r>
          <w:rPr>
            <w:rStyle w:val="Link"/>
          </w:rPr>
          <w:t xml:space="preserve">(S.Ct. 1978)</w:t>
        </w:r>
      </w:hyperlink>
      <w:r>
        <w:t xml:space="preserve">). "'If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7">
        <w:r>
          <w:rPr>
            <w:i/>
            <w:rStyle w:val="Link"/>
          </w:rPr>
          <w:t xml:space="preserve">Caplin &amp; Drysdale, Chartered v. United States,</w:t>
        </w:r>
        <w:r>
          <w:rPr>
            <w:rStyle w:val="Link"/>
          </w:rPr>
          <w:t xml:space="preserve"> </w:t>
        </w:r>
        <w:r>
          <w:rPr>
            <w:rStyle w:val="Link"/>
          </w:rPr>
          <w:t xml:space="preserve">(S.Ct. 1989)</w:t>
        </w:r>
      </w:hyperlink>
      <w:r>
        <w:t xml:space="preserve">.</w:t>
      </w:r>
    </w:p>
    <w:p>
      <w:r>
        <w:t xml:space="preserve">The State likewise has an undisputed compelling interest in ensuring that criminals do not profit from their crimes. Like most if not all States, New York has long recognized the "fundamental equitable principle,"</w:t>
      </w:r>
      <w:r>
        <w:t xml:space="preserve"> </w:t>
      </w:r>
      <w:hyperlink r:id="rId128">
        <w:r>
          <w:rPr>
            <w:i/>
            <w:rStyle w:val="Link"/>
          </w:rPr>
          <w:t xml:space="preserve">Children of Bedford v. Petromelis,</w:t>
        </w:r>
      </w:hyperlink>
      <w:r>
        <w:t xml:space="preserve"> </w:t>
      </w:r>
      <w:r>
        <w:t xml:space="preserve">that "[n]o one shall be permitted to profit by his own fraud, or to take advantage of his own wrong, or to found any claim upon his own iniquity, or to acquire property by his own crime."</w:t>
      </w:r>
      <w:r>
        <w:t xml:space="preserve"> </w:t>
      </w:r>
      <w:hyperlink r:id="rId129">
        <w:r>
          <w:rPr>
            <w:i/>
            <w:rStyle w:val="Link"/>
          </w:rPr>
          <w:t xml:space="preserve">Riggs v. Palmer,</w:t>
        </w:r>
        <w:r>
          <w:rPr>
            <w:rStyle w:val="Link"/>
          </w:rPr>
          <w:t xml:space="preserve"> </w:t>
        </w:r>
        <w:r>
          <w:rPr>
            <w:rStyle w:val="Link"/>
          </w:rPr>
          <w:t xml:space="preserve">(S.Ct. 1889)</w:t>
        </w:r>
      </w:hyperlink>
      <w:r>
        <w:t xml:space="preserve">. The force of this interest is evidenced by the State's statutory provisions for the forfeiture of the proceeds and instrumentalities of crime.</w:t>
      </w:r>
    </w:p>
    <w:p>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30" w:name="ii.c."/>
      <w:bookmarkEnd w:id="130"/>
      <w:r>
        <w:t xml:space="preserve">II.C.</w:t>
      </w:r>
    </w:p>
    <w:p>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31" w:name="iii"/>
      <w:bookmarkEnd w:id="131"/>
      <w:r>
        <w:t xml:space="preserve">III</w:t>
      </w:r>
    </w:p>
    <w:p>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r>
        <w:t xml:space="preserve">The judgment of the Court of Appeals is accordingly</w:t>
      </w:r>
    </w:p>
    <w:p>
      <w:r>
        <w:rPr>
          <w:i/>
        </w:rPr>
        <w:t xml:space="preserve">Reversed.</w:t>
      </w:r>
    </w:p>
    <w:p>
      <w:pPr>
        <w:pStyle w:val="Heading2"/>
      </w:pPr>
      <w:bookmarkStart w:id="132" w:name="transformation"/>
      <w:bookmarkEnd w:id="132"/>
      <w:r>
        <w:t xml:space="preserve">Transformation</w:t>
      </w:r>
    </w:p>
    <w:p>
      <w:pPr>
        <w:pStyle w:val="Heading3"/>
      </w:pPr>
      <w:bookmarkStart w:id="133" w:name="comedy-iii-productions-v.-gary-saderup-inc."/>
      <w:bookmarkEnd w:id="133"/>
      <w:r>
        <w:t xml:space="preserve">Comedy III Productions v. Gary Saderup, Inc.</w:t>
      </w:r>
    </w:p>
    <w:p>
      <w:pPr>
        <w:pStyle w:val="Heading6"/>
      </w:pPr>
      <w:bookmarkStart w:id="134" w:name="california-supreme-court-2001"/>
      <w:bookmarkEnd w:id="134"/>
      <w:r>
        <w:t xml:space="preserve">California Supreme Court (2001)</w:t>
      </w:r>
    </w:p>
    <w:p>
      <w:r>
        <w:t xml:space="preserve">MOSK, J.</w:t>
      </w:r>
    </w:p>
    <w:p>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5" w:name="i.-the-statute"/>
      <w:bookmarkEnd w:id="135"/>
      <w:r>
        <w:t xml:space="preserve">I. The Statute</w:t>
      </w:r>
    </w:p>
    <w:p>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2">
        <w:r>
          <w:rPr>
            <w:i/>
            <w:rStyle w:val="Link"/>
          </w:rPr>
          <w:t xml:space="preserve">Lugosi v. Universal Pictures</w:t>
        </w:r>
        <w:r>
          <w:rPr>
            <w:rStyle w:val="Link"/>
          </w:rPr>
          <w:t xml:space="preserve"> </w:t>
        </w:r>
        <w:r>
          <w:rPr>
            <w:rStyle w:val="Link"/>
          </w:rPr>
          <w:t xml:space="preserve">(</w:t>
        </w:r>
        <w:r>
          <w:rPr>
            <w:i/>
            <w:rStyle w:val="Link"/>
          </w:rPr>
          <w:t xml:space="preserve">Lugosi</w:t>
        </w:r>
        <w:r>
          <w:rPr>
            <w:rStyle w:val="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r>
        <w:t xml:space="preserve">Section 990 declares broadly that:</w:t>
      </w:r>
    </w:p>
    <w:p>
      <w:pPr>
        <w:pStyle w:val="BlockQuote"/>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 "any profits from the unauthorized use," as well as punitive damages, attorney fees, and costs.</w:t>
      </w:r>
    </w:p>
    <w:p>
      <w:r>
        <w:t xml:space="preserve">The statute defines "deceased personality" as a person "whose name, voice, signature, photograph, or likeness has commercial value at the time of his or her death," whether or not the person actually used any of those features for commercial purposes while alive.</w:t>
      </w:r>
    </w:p>
    <w:p>
      <w:r>
        <w:t xml:space="preserve">The statute further declares that "The rights recognized under this section are property rights" 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r>
        <w:t xml:space="preserve">The right to require consent under the statute terminates if there is neither transferee nor survivor … or 50 years after the personality dies.</w:t>
      </w:r>
    </w:p>
    <w:p>
      <w:r>
        <w:t xml:space="preserve">The statute provides a number of exemptions from the requirement of consent to use. Thus a use "in connection with any news, public affairs, or sports broadcast or account, or any political campaign" does not require; consent. Use in a "commercial medium" does not require consent solely because the material is commercially sponsored or contains paid advertising; "Rather it shall be a question of fact whether or not the use … was so directly connected with" the sponsorship or advertising that it requires consent. Finally, subdivision (n) provides that "[a] play, book, magazine, newspaper, musical composition, film, radio or television program" … work of "political or newsworthy value" … "[s]ingle and original works of fine art" … or "[a]n advertisement or commercial announcement' for the above works … are all exempt from the provisions of the statute.</w:t>
      </w:r>
    </w:p>
    <w:p>
      <w:pPr>
        <w:pStyle w:val="Heading4"/>
      </w:pPr>
      <w:bookmarkStart w:id="136" w:name="ii.-facts"/>
      <w:bookmarkEnd w:id="136"/>
      <w:r>
        <w:t xml:space="preserve">II. Facts</w:t>
      </w:r>
    </w:p>
    <w:p>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r>
        <w:t xml:space="preserve">Comedy III is the registered owner of all rights to the former comedy act known as The Three Stooges, who are deceased personalities within the meaning of the statute.</w:t>
      </w:r>
    </w:p>
    <w:p>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r>
        <w:t xml:space="preserve">Saderup's profits from the sale of unlicensed lithographs and T-shirts bearing a likeness of The Three Stooges was $75,000 and Comedy III's reasonable attorney fees were $150,000.</w:t>
      </w:r>
    </w:p>
    <w:p>
      <w:r>
        <w:t xml:space="preserve">On these stipulated facts the court found for Comedy III and entered judgment against Saderup awarding damages of $75,000 and attorney fees of $150,000 plus costs.…</w:t>
      </w:r>
    </w:p>
    <w:p>
      <w:r>
        <w:t xml:space="preserve">The Court of Appeal affirmed the judgment … upholding the award of damages, attorney fees, and costs. In so doing, it rejected Saderup's contentions that his conduct (1) did not violate the terms of the statute, and (2) in any event was protected by the constitutional guaranty of freedom of speech.</w:t>
      </w:r>
    </w:p>
    <w:p>
      <w:r>
        <w:t xml:space="preserve">We granted review to address these two issues.</w:t>
      </w:r>
    </w:p>
    <w:p>
      <w:pPr>
        <w:pStyle w:val="Heading4"/>
      </w:pPr>
      <w:bookmarkStart w:id="137" w:name="iii.-discussion"/>
      <w:bookmarkEnd w:id="137"/>
      <w:r>
        <w:t xml:space="preserve">III. Discussion</w:t>
      </w:r>
    </w:p>
    <w:p>
      <w:pPr>
        <w:pStyle w:val="Heading4"/>
      </w:pPr>
      <w:bookmarkStart w:id="138" w:name="a.-the-statutory-issue"/>
      <w:bookmarkEnd w:id="138"/>
      <w:r>
        <w:rPr>
          <w:i/>
        </w:rPr>
        <w:t xml:space="preserve">A. The Statutory Issue</w:t>
      </w:r>
    </w:p>
    <w:p>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r>
        <w:t xml:space="preserve">As noted above, the statute makes liable any person who, without consent, uses a deceased personality's name, voice, photograph, etc., "in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 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 "in any manner, for purposes of advertising products, merchandise, goods or services, or for purposes of solicitation of such purchases. … The Legislature inserted the phrase, "on or in products, merchandise, or goods, or," when it amended section 3344 in 1984.… And in the very same legislation, the Legislature adopted section 990 and inserted the identical phrase in that statute as well.</w:t>
      </w:r>
    </w:p>
    <w:p>
      <w:r>
        <w:t xml:space="preserve">We therefore give effect to the plain meaning of the statute: it makes liable any person who, without consent, uses a deceased personality's name, voice, photograph, etc., either (1) "on or in" a product,</w:t>
      </w:r>
      <w:r>
        <w:t xml:space="preserve"> </w:t>
      </w:r>
      <w:r>
        <w:rPr>
          <w:i/>
        </w:rPr>
        <w:t xml:space="preserve">or</w:t>
      </w:r>
      <w:r>
        <w:t xml:space="preserve"> </w:t>
      </w:r>
      <w:r>
        <w:t xml:space="preserve">(2) in "advertising or selling" a product. The two uses are not synonymous: in the apt example given by the Court of Appeal, there is an obvious difference between "placing a celebrity's name on a 'special edition' of a vehicle, and using that name in a commercial to endorse or tout the same or another vehicle."</w:t>
      </w:r>
    </w:p>
    <w:p>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 "on … products, merchandise, or goods" within the meaning of the statute.…</w:t>
      </w:r>
    </w:p>
    <w:p>
      <w:pPr>
        <w:pStyle w:val="Heading4"/>
      </w:pPr>
      <w:bookmarkStart w:id="139" w:name="b.-the-constitutional-issue"/>
      <w:bookmarkEnd w:id="139"/>
      <w:r>
        <w:rPr>
          <w:i/>
        </w:rPr>
        <w:t xml:space="preserve">B. The Constitutional Issue</w:t>
      </w:r>
    </w:p>
    <w:p>
      <w:r>
        <w:t xml:space="preserve">Saderup next contends that enforcement of the judgment against him violates his right of free speech and expression under the First Amendment. He raises a difficult issue, which we address below.…</w:t>
      </w:r>
    </w:p>
    <w:p>
      <w:r>
        <w:t xml:space="preserve">As the trial court found, Saderup's portraits of The Three Stooges are expressive works and not an advertisement for or endorsement of a product. Although his work was done for financial gain, "[t]he First Amendment is not limited to those who publish without charge.... [An expressive activity] does not lose its constitutional protection because it is undertaken for profit." (</w:t>
      </w:r>
      <w:hyperlink r:id="rId140">
        <w:r>
          <w:rPr>
            <w:i/>
            <w:rStyle w:val="Link"/>
          </w:rPr>
          <w:t xml:space="preserve">Guglielmi v. Spelling-Goldberg Productions</w:t>
        </w:r>
        <w:r>
          <w:rPr>
            <w:rStyle w:val="Link"/>
          </w:rPr>
          <w:t xml:space="preserve"> </w:t>
        </w:r>
        <w:r>
          <w:rPr>
            <w:rStyle w:val="Link"/>
          </w:rPr>
          <w:t xml:space="preserve">(1979) (</w:t>
        </w:r>
        <w:r>
          <w:rPr>
            <w:i/>
            <w:rStyle w:val="Link"/>
          </w:rPr>
          <w:t xml:space="preserve">Guglielmi</w:t>
        </w:r>
        <w:r>
          <w:rPr>
            <w:rStyle w:val="Link"/>
          </w:rPr>
          <w:t xml:space="preserve">)</w:t>
        </w:r>
      </w:hyperlink>
      <w:r>
        <w:t xml:space="preserve">.)</w:t>
      </w:r>
    </w:p>
    <w:p>
      <w:r>
        <w:t xml:space="preserve">The tension between the right of publicity and the First Amendment is highlighted by recalling the two distinct, commonly acknowledged purposes of the latter. First, "'to preserve an uninhibited marketplace of ideas' and to repel efforts to limit the '"uninhibited, robust and wideopen" debate on public issues.'"</w:t>
      </w:r>
      <w:r>
        <w:t xml:space="preserve"> </w:t>
      </w:r>
      <w:hyperlink r:id="rId140">
        <w:r>
          <w:rPr>
            <w:i/>
            <w:rStyle w:val="Link"/>
          </w:rPr>
          <w:t xml:space="preserve">Guglielmi supra,</w:t>
        </w:r>
      </w:hyperlink>
      <w:r>
        <w:t xml:space="preserve">.) Second, to foster a "fundamental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p>
    <w:p>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Quote"/>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 'the chief agents of moral change in the United States,' 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Quote"/>
      </w:pPr>
      <w:r>
        <w:t xml:space="preserve">Madow,</w:t>
      </w:r>
      <w:r>
        <w:t xml:space="preserve"> </w:t>
      </w:r>
      <w:r>
        <w:rPr>
          <w:i/>
        </w:rPr>
        <w:t xml:space="preserve">Private Ownership of Public Image: Popular Culture and Publicity Rights,</w:t>
      </w:r>
      <w:r>
        <w:t xml:space="preserve"> </w:t>
      </w:r>
      <w:r>
        <w:t xml:space="preserve">81 Cal.L.Rev. 125, 128 (1993).</w:t>
      </w:r>
    </w:p>
    <w:p>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"The right of publicity derived from public prominence does not confer a shield to ward off caricature, parody and satire. Rather, prominence invites creative comment."</w:t>
      </w:r>
    </w:p>
    <w:p>
      <w:r>
        <w:t xml:space="preserve">For similar reasons, speech about public figures is accorded heightened First Amendment protection in defamation law. As the United States Supreme Court held in</w:t>
      </w:r>
      <w:r>
        <w:t xml:space="preserve"> </w:t>
      </w:r>
      <w:hyperlink r:id="rId64">
        <w:r>
          <w:rPr>
            <w:i/>
            <w:rStyle w:val="Link"/>
          </w:rPr>
          <w:t xml:space="preserve">Gertz v. Robert Welch, Inc.</w:t>
        </w:r>
        <w:r>
          <w:rPr>
            <w:rStyle w:val="Link"/>
          </w:rPr>
          <w:t xml:space="preserve"> </w:t>
        </w:r>
        <w:r>
          <w:rPr>
            <w:rStyle w:val="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 "invite attention and comment." Giving broad scope to the right of publicity has the potential of allowing a celebrity to accomplish through the vigorous exercise of that right the censorship of unflattering commentary that cannot be constitutionally accomplished through defamation actions.</w:t>
      </w:r>
    </w:p>
    <w:p>
      <w:r>
        <w:t xml:space="preserve">[Even though Saderup's creations were for "entertaining rather than informing" and even though they consisted of "nonverbal, visual representation" on T-shirt the Court held that they were clearly protected expression under the First Amendment and indeed would be protected even if they conveyed "no discernable message."]</w:t>
      </w:r>
    </w:p>
    <w:p>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 "Often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 </w:t>
      </w:r>
      <w:hyperlink r:id="rId52">
        <w:r>
          <w:rPr>
            <w:i/>
            <w:rStyle w:val="Link"/>
          </w:rPr>
          <w:t xml:space="preserve">Lugosi supra,</w:t>
        </w:r>
      </w:hyperlink>
      <w:r>
        <w:t xml:space="preserve">.</w:t>
      </w:r>
    </w:p>
    <w:p>
      <w:r>
        <w:t xml:space="preserve">The present case exemplifies this kind of creative labor. Moe and Jerome (Curly) Howard and Larry Fein fashioned personae collectively known as The Three Stooges, first in vaudeville and later in movie shorts, over a period extending from the 1920's to the 1940's.…</w:t>
      </w:r>
    </w:p>
    <w:p>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r>
        <w:t xml:space="preserve">Although surprisingly few courts have considered in any depth the means of reconciling the right of publicity and the First Amendment, we follow those that have in concluding that depictions of celebrities amounting to little more than the appropriation of the celebrity's economic value are not protected expression under the First Amendment.</w:t>
      </w:r>
    </w:p>
    <w:p>
      <w:r>
        <w:t xml:space="preserve">[The Court reviewed</w:t>
      </w:r>
      <w:r>
        <w:t xml:space="preserve"> </w:t>
      </w:r>
      <w:hyperlink r:id="rId78">
        <w:r>
          <w:rPr>
            <w:i/>
            <w:rStyle w:val="Link"/>
          </w:rPr>
          <w:t xml:space="preserve">Zacchini</w:t>
        </w:r>
      </w:hyperlink>
      <w:r>
        <w:t xml:space="preserve">, and found two principles applicable to this case: (1) state law may validly safeguard forms of intellectual property not covered under federal copyright and patent law as a means of protecting the fruits of a performing artist's labor; and (2) 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2">
        <w:r>
          <w:rPr>
            <w:i/>
            <w:rStyle w:val="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 "an action for infringement of the right of publicity can be maintained only if the proprietary interests at issue clearly outweigh the value of free expression in this context." (</w:t>
      </w:r>
      <w:hyperlink r:id="rId140">
        <w:r>
          <w:rPr>
            <w:i/>
            <w:rStyle w:val="Link"/>
          </w:rPr>
          <w:t xml:space="preserve">Guglielmi supra</w:t>
        </w:r>
      </w:hyperlink>
      <w:r>
        <w:t xml:space="preserve">.)</w:t>
      </w:r>
    </w:p>
    <w:p>
      <w:r>
        <w:t xml:space="preserve">[The Court exhaustively cited cases balancing First Amendment rights against publicity rights.]</w:t>
      </w:r>
    </w:p>
    <w:p>
      <w:r>
        <w:t xml:space="preserve">It is admittedly not a simple matter to develop a test that will unerringly distinguish between forms of artistic expression protected by the First Amendment and those that must give way to the right of publicity. Certainly, any such test must incorporate the principle that the right of publicity cannot, consistent with the First Amendment, be a right to control the celebrity's image by censoring disagreeable portrayals. Once the celebrity thrusts himself or herself forward into the limelight, the First Amendment dictates that the right to comment on, parody, lampoon, and make other expressive uses of the celebrity image must be given broad scope. The necessary implication of this observation is that the right of publicity is essentially an economic right. What the right of publicity holder possesses is not a right of censorship, but a right to prevent others from misappropriating the economic value generated by the celebrity's fame through the merchandising of the "name, voice, signature, photograph, or likeness" of the celebrity. (§ 990.)</w:t>
      </w:r>
    </w:p>
    <w:p>
      <w:r>
        <w:t xml:space="preserve">Beyond this precept, how may courts distinguish between protected and unprotected expression? Some commentators have proposed importing the fair use defense from copyright law (17 U.S.C. § 107), which has the advantage of employing an established doctrine developed from a related area of the law.… Others disagree, pointing to the murkiness of the fair use doctrine and arguing that the idea/expression dichotomy, rather than fair use, is the principal means of reconciling copyright protection and First Amendment rights.…</w:t>
      </w:r>
    </w:p>
    <w:p>
      <w:r>
        <w:t xml:space="preserve">We conclude that a wholesale importation of the fair use doctrine into right of publicity law would not be advisable. At least two of the factors employed in the fair use test, "the nature of the copyrighted work" and "the amount and substantiality of the portion used" (17 U.S.C. § 107(2), (3)), seem particularly designed to be applied to the partial copying of works of authorship "fixed in [a] tangible medium of expression" (17 U.S.C. § 102); it is difficult to understand why these factors would be especially useful for determining whether the depiction of a celebrity likeness is protected by the First Amendment.</w:t>
      </w:r>
    </w:p>
    <w:p>
      <w:r>
        <w:t xml:space="preserve">Nonetheless, the first fair use factor--"the purpose and character of the use" … does seem particularly pertinent to the task of reconciling the rights of free expression and publicity. As the Supreme Court has stated, the central purpose of the inquiry into this fair use factor "is to see, in Justice Story's words, whether the new work merely 'supersede[s] the objects' of the original creation or instead adds something new, with a further purpose or different character, altering the first with new expression, meaning, or message; it asks, in other words, whether and to what extent the new work is 'transformative.' Although such transformative use is not absolutely necessary for a finding of fair use, [citation] the goal of copyright, to promote science and the arts, is generally furthered by the creation of transformative works." (</w:t>
      </w:r>
      <w:hyperlink r:id="rId141">
        <w:r>
          <w:rPr>
            <w:i/>
            <w:rStyle w:val="Link"/>
          </w:rPr>
          <w:t xml:space="preserve">Campbell v. Acuff-Rose Music, Inc.</w:t>
        </w:r>
        <w:r>
          <w:rPr>
            <w:rStyle w:val="Link"/>
          </w:rPr>
          <w:t xml:space="preserve"> </w:t>
        </w:r>
        <w:r>
          <w:rPr>
            <w:rStyle w:val="Link"/>
          </w:rPr>
          <w:t xml:space="preserve">(S.Ct. 1994)</w:t>
        </w:r>
      </w:hyperlink>
      <w:r>
        <w:t xml:space="preserve">.</w:t>
      </w:r>
    </w:p>
    <w:p>
      <w:r>
        <w:t xml:space="preserve">This inquiry into whether a work is "transformative" appears to us to be necessarily at the heart of any judicial attempt to square the right of publicity with the First Amendment. As the above quotation suggests, both the First Amendment and copyright law have a common goal of encouragement of free expression and creativity, the former by protecting such expression from government interference, the latter by protecting the creative fruits of intellectual and artistic labor.… The right of publicity, at least theoretically, shares this goal with copyright law.… When artistic expression takes the form of a literal depiction or imitation of a celebrity for commercial gain, directly trespassing on the right of publicity without adding significant expression beyond that trespass, the state law interest in protecting the fruits of artistic labor outweighs the expressive interests of the imitative artist.</w:t>
      </w:r>
      <w:r>
        <w:t xml:space="preserve"> </w:t>
      </w:r>
      <w:hyperlink r:id="rId78">
        <w:r>
          <w:rPr>
            <w:i/>
            <w:rStyle w:val="Link"/>
          </w:rPr>
          <w:t xml:space="preserve">Zacchini supra</w:t>
        </w:r>
      </w:hyperlink>
      <w:r>
        <w:t xml:space="preserve">.</w:t>
      </w:r>
    </w:p>
    <w:p>
      <w:r>
        <w:t xml:space="preserve">On the other hand, when a work contains significant transformative elements, it is not only especially worthy of First Amendment protection, but it is also less likely to interfere with the economic interest protected by the right of publicity. As has been observed, works of parody or other distortions of the celebrity figure are not, from the celebrity fan's viewpoint, good substitutes for conventional depictions of the celebrity and therefore do not generally threaten markets for celebrity memorabilia that the right of publicity is designed to protect. See</w:t>
      </w:r>
      <w:r>
        <w:t xml:space="preserve"> </w:t>
      </w:r>
      <w:hyperlink r:id="rId142">
        <w:r>
          <w:rPr>
            <w:i/>
            <w:rStyle w:val="Link"/>
          </w:rPr>
          <w:t xml:space="preserve">Cardtoons, L.C v. Major League Baseball Players Association</w:t>
        </w:r>
        <w:r>
          <w:rPr>
            <w:rStyle w:val="Link"/>
          </w:rPr>
          <w:t xml:space="preserve"> </w:t>
        </w:r>
        <w:r>
          <w:rPr>
            <w:rStyle w:val="Link"/>
          </w:rPr>
          <w:t xml:space="preserve">(10th Cir. 1996)</w:t>
        </w:r>
      </w:hyperlink>
      <w:r>
        <w:t xml:space="preserve">.) Accordingly, First Amendment protection of such works outweighs whatever interest the state may have in enforcing the right of publicity. The right-of-publicity holder continues to enforce the right to monopolize the production of conventional, more or less fungible, images of the celebrity.</w:t>
      </w:r>
    </w:p>
    <w:p>
      <w:hyperlink r:id="rId142">
        <w:r>
          <w:rPr>
            <w:i/>
            <w:rStyle w:val="Link"/>
          </w:rPr>
          <w:t xml:space="preserve">Cardtoons, supra,</w:t>
        </w:r>
      </w:hyperlink>
      <w:r>
        <w:t xml:space="preserve"> </w:t>
      </w:r>
      <w:r>
        <w:t xml:space="preserve">cited by Saderup, is consistent with this "transformative" test. There, the court held that the First Amendment protected a company that produced trading cards caricaturing and parodying well-known major league baseball players against a claim brought under the Oklahoma right of publicity statute. The court concluded that "[t]he cards provide social commentary on public figures, major league baseball players, who are involved in a significant commercial enterprise, major league baseball," and that "[t]he cards are no less protected because they provide humorous rather than serious commentary." 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r>
        <w:t xml:space="preserve">We emphasize that the transformative elements or creative contributions that require First Amendment protection are not confined to parody and can take many forms.…</w:t>
      </w:r>
    </w:p>
    <w:p>
      <w:r>
        <w:t xml:space="preserve">Another way of stating the inquiry is whether the celebrity likeness is one of the "raw materials" 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 "expression," we mean expression of something other than the likeness of the celebrity.</w:t>
      </w:r>
    </w:p>
    <w:p>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101">
        <w:r>
          <w:rPr>
            <w:rStyle w:val="Link"/>
          </w:rPr>
          <w:t xml:space="preserve">*Hustler Magazine v. Falwell, supra,</w:t>
        </w:r>
      </w:hyperlink>
      <w:r>
        <w:t xml:space="preserve">; see also</w:t>
      </w:r>
      <w:r>
        <w:t xml:space="preserve"> </w:t>
      </w:r>
      <w:hyperlink r:id="rId141">
        <w:r>
          <w:rPr>
            <w:i/>
            <w:rStyle w:val="Link"/>
          </w:rPr>
          <w:t xml:space="preserve">Campbell v. Acuff— Rose Music, Inc., supra,</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r>
        <w:t xml:space="preserve">In sum, when an artist is faced with a right of publicity challenge to his or her work, he or she may raise as affirmative defense that the work is protected by the First Amendment inasmuch as it contains significant transformative elements or that the value of the work does not derive primarily from the celebrity's fame.</w:t>
      </w:r>
    </w:p>
    <w:p>
      <w:r>
        <w:t xml:space="preserve">Turning to the present case, we note that the trial court, in ruling against Saderup, stated that "the commercial enterprise conducted by [Saderup] involves the sale of lithographs and T-shirts which are not original single works of art, and which are not protected by the First Amendment; the enterprise conducted by [Saderup] was a commercial enterprise designed to generate profits solely from the use of the likeness of The Three Stooges which is the right of publicity ... protected by section 990." Although not entirely clear, the trial court seemed to be holding that</w:t>
      </w:r>
      <w:r>
        <w:t xml:space="preserve"> </w:t>
      </w:r>
      <w:r>
        <w:rPr>
          <w:i/>
        </w:rPr>
        <w:t xml:space="preserve">reproductions</w:t>
      </w:r>
      <w:r>
        <w:t xml:space="preserve"> </w:t>
      </w:r>
      <w:r>
        <w:t xml:space="preserve">of celebrity images are categorically outside First Amendment protection. The Court of Appeal was more explicit in adopting this rationale: "Simply put, although the First Amendment protects speech that is sold [citation], reproductions of an image, made to be sold for profit do not per se constitute speech." But this position has no basis in logic or authority. No one would claim that a published book, because it is one of many copies, receives less First Amendment protection than the original manuscript. It is true that the statute at issue here makes a distinction between a single and original work of fine art and a reproduction. (§ 990, subd. (n)(3).) Because the statute evidently aims at preventing the illicit merchandising of celebrity images, and because single original works of fine art are not forms of merchandising, the state has little if any interest in preventing the exhibition and sale of such works, and the First Amendment rights of the artist should therefore prevail. But the inverse—that a reproduction receives no First Amendment protection—is patently false: a reproduction of a celebrity image that, as explained above, contains significant creative elements is entitled to as much First Amendment protection as an original work of art. The trial court and the Court of Appeal therefore erred in this respect.</w:t>
      </w:r>
    </w:p>
    <w:p>
      <w:r>
        <w:t xml:space="preserve">Rather, the inquiry is into whether Saderup's work is sufficiently transformative. Correctly anticipating this inquiry, he argues that all portraiture involves creative decisions, that therefore no portrait portrays a mere literal likeness, and that accordingly all portraiture, including reproductions, is protected by the First Amendment. We reject any such categorical position. Without denying that all portraiture involves the making of artistic choices, we find it equally undeniable, under the test formulated above, that when an artist's skill and talent is manifestly subordinated to the overall goal of creating a conventional portrait of a celebrity so as to commercially exploit his or her fame, then the artist's right of free expression is outweighed by the right of publicity. As is the case with fair use in the area of copyright law, an artist depicting a celebrity must contribute something more than a "merely trivial" variation, [but must create] something recognizably "his own"</w:t>
      </w:r>
      <w:r>
        <w:t xml:space="preserve"> </w:t>
      </w:r>
      <w:hyperlink r:id="rId143">
        <w:r>
          <w:rPr>
            <w:i/>
            <w:rStyle w:val="Link"/>
          </w:rPr>
          <w:t xml:space="preserve">L. Batlin &amp; Son, Inc. v. Snyder</w:t>
        </w:r>
      </w:hyperlink>
      <w:r>
        <w:t xml:space="preserve">), in order to qualify for legal protection.</w:t>
      </w:r>
    </w:p>
    <w:p>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44">
        <w:r>
          <w:rPr>
            <w:i/>
            <w:rStyle w:val="Link"/>
          </w:rPr>
          <w:t xml:space="preserve">Miller v. California</w:t>
        </w:r>
        <w:r>
          <w:rPr>
            <w:rStyle w:val="Link"/>
          </w:rPr>
          <w:t xml:space="preserve"> </w:t>
        </w:r>
        <w:r>
          <w:rPr>
            <w:rStyle w:val="Link"/>
          </w:rPr>
          <w:t xml:space="preserve">(1973)</w:t>
        </w:r>
      </w:hyperlink>
      <w:r>
        <w:t xml:space="preserve"> </w:t>
      </w:r>
      <w:r>
        <w:t xml:space="preserve">[requiring determination, in the context of work alleged to be obscene, of "whether the work, taken as a whole, lacks serious literary, artistic, political, or scientific value"].)</w:t>
      </w:r>
    </w:p>
    <w:p>
      <w:r>
        <w:t xml:space="preserve">Turning to Saderup's work, we can discern no significant transformative or creative contribution. His undeniable skill is manifestly subordinated to the overall goal of creating literal, conventional depictions of The Three Stooges so as to exploit their fame. Indeed, were we to decide that Saderup's depictions were protected by the First Amendment, we cannot perceive how the right of publicity would remain a viable right other than in cases of falsified celebrity endorsements.</w:t>
      </w:r>
    </w:p>
    <w:p>
      <w:r>
        <w:t xml:space="preserve">Moreover, the marketability and economic value of Saderup's work derives primarily from the fame of the celebrities depicted. While that fact alone does not necessarily mean the work receives no First Amendment protection, we can perceive no transformative elements in Saderup's works that would require such protection.</w:t>
      </w:r>
    </w:p>
    <w:p>
      <w:r>
        <w:t xml:space="preserve">Saderup argues that it would be incongruous and unjust to protect parodies and other distortions of celebrity figures but not wholesome, reverential portraits of such celebrities. The test we articulate today, however, does not express a value judgment or preference for one type of depiction over another. Rather, it reflects a recognition that the Legislature has granted to the heirs and assigns of celebrities the property right to exploit the celebrities' images, and that certain forms of expressive activity protected by the First Amendment fall outside the boundaries of that right. Stated another way, we are concerned not with whether conventional celebrity images Should be produced but with who produces them and, more pertinently, who appropriates the value from their production. Thus, under section 990, if Saderup wishes to continue to depict The Three Stooges as he has done, he may do so only with the consent of the right of publicity holder.</w:t>
      </w:r>
    </w:p>
    <w:p>
      <w:pPr>
        <w:pStyle w:val="Heading4"/>
      </w:pPr>
      <w:bookmarkStart w:id="145" w:name="iv.-disposition"/>
      <w:bookmarkEnd w:id="145"/>
      <w:r>
        <w:t xml:space="preserve">IV. Disposition</w:t>
      </w:r>
    </w:p>
    <w:p>
      <w:r>
        <w:t xml:space="preserve">The judgment of the Court of Appeal is affirmed.</w:t>
      </w:r>
    </w:p>
    <w:p>
      <w:pPr>
        <w:pStyle w:val="Heading3"/>
      </w:pPr>
      <w:bookmarkStart w:id="146" w:name="cases-covered-in-class"/>
      <w:bookmarkEnd w:id="146"/>
      <w:r>
        <w:t xml:space="preserve">Cases Covered In Class</w:t>
      </w:r>
    </w:p>
    <w:p>
      <w:pPr>
        <w:pStyle w:val="Heading4"/>
      </w:pPr>
      <w:bookmarkStart w:id="147" w:name="parks-v.-laface-records"/>
      <w:bookmarkEnd w:id="147"/>
      <w:r>
        <w:rPr>
          <w:i/>
        </w:rPr>
        <w:t xml:space="preserve">Parks v. LaFace Records</w:t>
      </w:r>
    </w:p>
    <w:p>
      <w:pPr>
        <w:pStyle w:val="Heading6"/>
      </w:pPr>
      <w:bookmarkStart w:id="148" w:name="th-cir.-2001"/>
      <w:bookmarkEnd w:id="148"/>
      <w:r>
        <w:t xml:space="preserve">(6th Cir. 2001)</w:t>
      </w:r>
    </w:p>
    <w:p>
      <w:pPr>
        <w:pStyle w:val="Compact"/>
        <w:numPr>
          <w:numId w:val="1010"/>
          <w:ilvl w:val="0"/>
        </w:numPr>
      </w:pPr>
      <w:hyperlink r:id="rId149">
        <w:r>
          <w:rPr>
            <w:rStyle w:val="Link"/>
          </w:rPr>
          <w:t xml:space="preserve">case on Westlaw</w:t>
        </w:r>
      </w:hyperlink>
    </w:p>
    <w:p>
      <w:pPr>
        <w:pStyle w:val="Compact"/>
        <w:numPr>
          <w:numId w:val="1010"/>
          <w:ilvl w:val="0"/>
        </w:numPr>
      </w:pPr>
      <w:hyperlink r:id="rId150">
        <w:r>
          <w:rPr>
            <w:rStyle w:val="Link"/>
          </w:rPr>
          <w:t xml:space="preserve">case on Wikipedia</w:t>
        </w:r>
      </w:hyperlink>
    </w:p>
    <w:p>
      <w:pPr>
        <w:pStyle w:val="Heading4"/>
      </w:pPr>
      <w:bookmarkStart w:id="151" w:name="etw-corp.-v.-jireh-publishing"/>
      <w:bookmarkEnd w:id="151"/>
      <w:r>
        <w:rPr>
          <w:i/>
        </w:rPr>
        <w:t xml:space="preserve">ETW Corp. v. Jireh Publishing</w:t>
      </w:r>
    </w:p>
    <w:p>
      <w:pPr>
        <w:pStyle w:val="Heading6"/>
      </w:pPr>
      <w:bookmarkStart w:id="152" w:name="th-cir.-2003"/>
      <w:bookmarkEnd w:id="152"/>
      <w:r>
        <w:t xml:space="preserve">(6th Cir. 2003)</w:t>
      </w:r>
    </w:p>
    <w:p>
      <w:pPr>
        <w:pStyle w:val="Compact"/>
        <w:numPr>
          <w:numId w:val="1011"/>
          <w:ilvl w:val="0"/>
        </w:numPr>
      </w:pPr>
      <w:hyperlink r:id="rId153">
        <w:r>
          <w:rPr>
            <w:rStyle w:val="Link"/>
          </w:rPr>
          <w:t xml:space="preserve">case on Westlaw</w:t>
        </w:r>
      </w:hyperlink>
    </w:p>
    <w:p>
      <w:pPr>
        <w:pStyle w:val="Compact"/>
        <w:numPr>
          <w:numId w:val="1011"/>
          <w:ilvl w:val="0"/>
        </w:numPr>
      </w:pPr>
      <w:hyperlink r:id="rId154">
        <w:r>
          <w:rPr>
            <w:rStyle w:val="Link"/>
          </w:rPr>
          <w:t xml:space="preserve">Art on Trial</w:t>
        </w:r>
      </w:hyperlink>
      <w:r>
        <w:t xml:space="preserve">.</w:t>
      </w:r>
    </w:p>
    <w:p>
      <w:pPr>
        <w:pStyle w:val="Heading4"/>
      </w:pPr>
      <w:bookmarkStart w:id="155" w:name="referencefootnote-cases"/>
      <w:bookmarkEnd w:id="155"/>
      <w:r>
        <w:t xml:space="preserve">Reference/Footnote Cases</w:t>
      </w:r>
    </w:p>
    <w:p>
      <w:pPr>
        <w:pStyle w:val="Compact"/>
        <w:numPr>
          <w:numId w:val="1012"/>
          <w:ilvl w:val="0"/>
        </w:numPr>
      </w:pPr>
      <w:hyperlink r:id="rId156">
        <w:r>
          <w:rPr>
            <w:i/>
            <w:rStyle w:val="Link"/>
          </w:rPr>
          <w:t xml:space="preserve">Matthews v. Wozencraft,</w:t>
        </w:r>
      </w:hyperlink>
      <w:r>
        <w:t xml:space="preserve"> </w:t>
      </w:r>
      <w:r>
        <w:t xml:space="preserve">15 F.3d 432 (5th Cir. 1994).</w:t>
      </w:r>
    </w:p>
    <w:p>
      <w:pPr>
        <w:pStyle w:val="Compact"/>
        <w:numPr>
          <w:numId w:val="1012"/>
          <w:ilvl w:val="0"/>
        </w:numPr>
      </w:pPr>
      <w:hyperlink r:id="rId157">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12"/>
          <w:ilvl w:val="0"/>
        </w:numPr>
      </w:pPr>
      <w:hyperlink r:id="rId158">
        <w:r>
          <w:rPr>
            <w:i/>
            <w:rStyle w:val="Link"/>
          </w:rPr>
          <w:t xml:space="preserve">Comedy III Productions v. Gary Saderup, Inc.,</w:t>
        </w:r>
      </w:hyperlink>
      <w:r>
        <w:t xml:space="preserve"> </w:t>
      </w:r>
      <w:r>
        <w:t xml:space="preserve">21 P.3d 797 (CA 2001).</w:t>
      </w:r>
    </w:p>
    <w:p>
      <w:pPr>
        <w:pStyle w:val="Compact"/>
        <w:numPr>
          <w:numId w:val="1012"/>
          <w:ilvl w:val="0"/>
        </w:numPr>
      </w:pPr>
      <w:hyperlink r:id="rId159">
        <w:r>
          <w:rPr>
            <w:rStyle w:val="Link"/>
          </w:rPr>
          <w:t xml:space="preserve">Juris Notes</w:t>
        </w:r>
      </w:hyperlink>
      <w:r>
        <w:t xml:space="preserve">.</w:t>
      </w:r>
    </w:p>
    <w:p>
      <w:pPr>
        <w:pStyle w:val="Compact"/>
        <w:numPr>
          <w:numId w:val="1012"/>
          <w:ilvl w:val="0"/>
        </w:numPr>
      </w:pPr>
      <w:hyperlink r:id="rId57">
        <w:r>
          <w:rPr>
            <w:i/>
            <w:rStyle w:val="Link"/>
          </w:rPr>
          <w:t xml:space="preserve">Zacchini v. Scripps-Howard Broadcasting</w:t>
        </w:r>
      </w:hyperlink>
      <w:r>
        <w:t xml:space="preserve">, 433 US 562 (1977).</w:t>
      </w:r>
      <w:r>
        <w:t xml:space="preserve"> </w:t>
      </w:r>
      <w:hyperlink r:id="rId58">
        <w:r>
          <w:rPr>
            <w:rStyle w:val="Link"/>
          </w:rPr>
          <w:t xml:space="preserve">Wikipedia</w:t>
        </w:r>
      </w:hyperlink>
      <w:r>
        <w:t xml:space="preserve">.</w:t>
      </w:r>
    </w:p>
    <w:p>
      <w:pPr>
        <w:pStyle w:val="Compact"/>
        <w:numPr>
          <w:numId w:val="1012"/>
          <w:ilvl w:val="0"/>
        </w:numPr>
      </w:pPr>
      <w:hyperlink r:id="rId160">
        <w:r>
          <w:rPr>
            <w:i/>
            <w:rStyle w:val="Link"/>
          </w:rPr>
          <w:t xml:space="preserve">Hicks v. Casablanca Records,</w:t>
        </w:r>
      </w:hyperlink>
      <w:r>
        <w:t xml:space="preserve"> </w:t>
      </w:r>
      <w:r>
        <w:t xml:space="preserve">464 F.Supp. 426 (SDNY 1978).</w:t>
      </w:r>
    </w:p>
    <w:p>
      <w:pPr>
        <w:pStyle w:val="Compact"/>
        <w:numPr>
          <w:numId w:val="1012"/>
          <w:ilvl w:val="0"/>
        </w:numPr>
      </w:pPr>
      <w:hyperlink r:id="rId161">
        <w:r>
          <w:rPr>
            <w:i/>
            <w:rStyle w:val="Link"/>
          </w:rPr>
          <w:t xml:space="preserve">Keenan v. Superior Court Los Angeles County,</w:t>
        </w:r>
      </w:hyperlink>
      <w:r>
        <w:t xml:space="preserve"> </w:t>
      </w:r>
      <w:r>
        <w:t xml:space="preserve">40 P.3d 718 (2002).</w:t>
      </w:r>
      <w:r>
        <w:t xml:space="preserve"> </w:t>
      </w:r>
      <w:hyperlink r:id="rId162">
        <w:r>
          <w:rPr>
            <w:rStyle w:val="Link"/>
          </w:rPr>
          <w:t xml:space="preserve">Reporters Committee For Freedom of the Press</w:t>
        </w:r>
      </w:hyperlink>
      <w:r>
        <w:t xml:space="preserve">.</w:t>
      </w:r>
    </w:p>
    <w:p>
      <w:pPr>
        <w:pStyle w:val="Heading4"/>
      </w:pPr>
      <w:bookmarkStart w:id="163" w:name="totally-optional-readings-viewings"/>
      <w:bookmarkEnd w:id="163"/>
      <w:r>
        <w:t xml:space="preserve">Totally Optional Readings &amp; Viewings</w:t>
      </w:r>
    </w:p>
    <w:p>
      <w:pPr>
        <w:pStyle w:val="Compact"/>
        <w:numPr>
          <w:numId w:val="1013"/>
          <w:ilvl w:val="0"/>
        </w:numPr>
      </w:pPr>
      <w:hyperlink r:id="rId164">
        <w:r>
          <w:rPr>
            <w:rStyle w:val="Link"/>
          </w:rPr>
          <w:t xml:space="preserve">'Call of Duty': Can Rudy Giuliani Beat Manuel Noriega, the Three Stooges and Gwen Stefani?</w:t>
        </w:r>
      </w:hyperlink>
    </w:p>
    <w:p>
      <w:pPr>
        <w:pStyle w:val="Compact"/>
        <w:numPr>
          <w:numId w:val="1013"/>
          <w:ilvl w:val="0"/>
        </w:numPr>
      </w:pPr>
      <w:hyperlink r:id="rId165">
        <w:r>
          <w:rPr>
            <w:rStyle w:val="Link"/>
          </w:rPr>
          <w:t xml:space="preserve">Katherine Heigl Sues Duane Reed Drug Stores Over Photo</w:t>
        </w:r>
      </w:hyperlink>
    </w:p>
    <w:p>
      <w:pPr>
        <w:pStyle w:val="Compact"/>
        <w:numPr>
          <w:numId w:val="1013"/>
          <w:ilvl w:val="0"/>
        </w:numPr>
      </w:pPr>
      <w:hyperlink r:id="rId166">
        <w:r>
          <w:rPr>
            <w:rStyle w:val="Link"/>
          </w:rPr>
          <w:t xml:space="preserve">Katherine Heigl Ends Lawsuit Over Duane Reade Tweet (Exclusive)</w:t>
        </w:r>
      </w:hyperlink>
    </w:p>
    <w:p>
      <w:pPr>
        <w:pStyle w:val="Compact"/>
        <w:numPr>
          <w:numId w:val="1013"/>
          <w:ilvl w:val="0"/>
        </w:numPr>
      </w:pPr>
      <w:hyperlink r:id="rId167">
        <w:r>
          <w:rPr>
            <w:rStyle w:val="Link"/>
          </w:rPr>
          <w:t xml:space="preserve">Lindsay Lohan is suing the makers of Grand Theft Auto V</w:t>
        </w:r>
      </w:hyperlink>
    </w:p>
    <w:p>
      <w:pPr>
        <w:pStyle w:val="Compact"/>
        <w:numPr>
          <w:numId w:val="1013"/>
          <w:ilvl w:val="0"/>
        </w:numPr>
      </w:pPr>
      <w:hyperlink r:id="rId168">
        <w:r>
          <w:rPr>
            <w:rStyle w:val="Link"/>
          </w:rPr>
          <w:t xml:space="preserve">James Franco Sued for Violating Film Rights to Charles Bukowski Novel</w:t>
        </w:r>
      </w:hyperlink>
    </w:p>
    <w:p>
      <w:pPr>
        <w:pStyle w:val="Compact"/>
        <w:numPr>
          <w:numId w:val="1013"/>
          <w:ilvl w:val="0"/>
        </w:numPr>
      </w:pPr>
      <w:r>
        <w:t xml:space="preserve">Bing Crosby's First Wife Denied Value of His</w:t>
      </w:r>
      <w:r>
        <w:t xml:space="preserve"> </w:t>
      </w:r>
      <w:hyperlink r:id="rId169">
        <w:r>
          <w:rPr>
            <w:rStyle w:val="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07b5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99b8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e783d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0" Target="http://en.wikipedia.org/wiki/Rosa_Parks_v._LaFace_Records" TargetMode="External" /><Relationship Type="http://schemas.openxmlformats.org/officeDocument/2006/relationships/hyperlink" Id="rId58" Target="http://en.wikipedia.org/wiki/Zacchini_v._Scripps-Howard_Broadcasting_Co." TargetMode="External" /><Relationship Type="http://schemas.openxmlformats.org/officeDocument/2006/relationships/hyperlink" Id="rId85" Target="http://heinonline.org/HOL/LandingPage?handle=hein.journals/jocoso28&amp;div=12&amp;id=&amp;page=" TargetMode="External" /><Relationship Type="http://schemas.openxmlformats.org/officeDocument/2006/relationships/hyperlink" Id="rId156" Target="http://lawschool.westlaw.com/shared/westlawRedirect.aspx?task=find&amp;cite=15f3d432&amp;appflag=67.12" TargetMode="External" /><Relationship Type="http://schemas.openxmlformats.org/officeDocument/2006/relationships/hyperlink" Id="rId158" Target="http://lawschool.westlaw.com/shared/westlawRedirect.aspx?task=find&amp;cite=21+p3d+797&amp;appflag=67.12" TargetMode="External" /><Relationship Type="http://schemas.openxmlformats.org/officeDocument/2006/relationships/hyperlink" Id="rId161" Target="http://lawschool.westlaw.com/shared/westlawRedirect.aspx?task=find&amp;cite=27+Cal.4th+413&amp;appflag=67.12" TargetMode="External" /><Relationship Type="http://schemas.openxmlformats.org/officeDocument/2006/relationships/hyperlink" Id="rId39" Target="http://lawschool.westlaw.com/shared/westlawRedirect.aspx?task=find&amp;cite=296se2d697&amp;appflag=67.12" TargetMode="External" /><Relationship Type="http://schemas.openxmlformats.org/officeDocument/2006/relationships/hyperlink" Id="rId149" Target="http://lawschool.westlaw.com/shared/westlawRedirect.aspx?task=find&amp;cite=329+F.3d+437&amp;appflag=67.12" TargetMode="External" /><Relationship Type="http://schemas.openxmlformats.org/officeDocument/2006/relationships/hyperlink" Id="rId153" Target="http://lawschool.westlaw.com/shared/westlawRedirect.aspx?task=find&amp;cite=332f3d915&amp;appflag=67.12" TargetMode="External" /><Relationship Type="http://schemas.openxmlformats.org/officeDocument/2006/relationships/hyperlink" Id="rId57" Target="http://lawschool.westlaw.com/shared/westlawRedirect.aspx?task=find&amp;cite=433us562&amp;appflag=67.12" TargetMode="External" /><Relationship Type="http://schemas.openxmlformats.org/officeDocument/2006/relationships/hyperlink" Id="rId160" Target="http://lawschool.westlaw.com/shared/westlawRedirect.aspx?task=find&amp;cite=464fsupp426&amp;appflag=67.12" TargetMode="External" /><Relationship Type="http://schemas.openxmlformats.org/officeDocument/2006/relationships/hyperlink" Id="rId114"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4" Target="http://lawschool.westlaw.com/shared/westlawRedirect.aspx?task=find&amp;cite=971f2d1395&amp;appflag=67.12" TargetMode="External" /><Relationship Type="http://schemas.openxmlformats.org/officeDocument/2006/relationships/hyperlink" Id="rId38" Target="http://scholar.google.com/scholar_case?about=1102676940012657150" TargetMode="External" /><Relationship Type="http://schemas.openxmlformats.org/officeDocument/2006/relationships/hyperlink" Id="rId30" Target="http://scholar.google.com/scholar_case?about=1439996581741054102" TargetMode="External" /><Relationship Type="http://schemas.openxmlformats.org/officeDocument/2006/relationships/hyperlink" Id="rId44" Target="http://scholar.google.com/scholar_case?about=14399965817410541021" TargetMode="External" /><Relationship Type="http://schemas.openxmlformats.org/officeDocument/2006/relationships/hyperlink" Id="rId56" Target="http://scholar.google.com/scholar_case?about=16238771870259020023" TargetMode="External" /><Relationship Type="http://schemas.openxmlformats.org/officeDocument/2006/relationships/hyperlink" Id="rId113" Target="http://scholar.google.com/scholar_case?about=988401867966498877" TargetMode="External" /><Relationship Type="http://schemas.openxmlformats.org/officeDocument/2006/relationships/hyperlink" Id="rId61" Target="http://scholar.google.com/scholar_case?case=10183527771703896207" TargetMode="External" /><Relationship Type="http://schemas.openxmlformats.org/officeDocument/2006/relationships/hyperlink" Id="rId122" Target="http://scholar.google.com/scholar_case?case=10835027975367708871" TargetMode="External" /><Relationship Type="http://schemas.openxmlformats.org/officeDocument/2006/relationships/hyperlink" Id="rId79" Target="http://scholar.google.com/scholar_case?case=10950732871251474707" TargetMode="External" /><Relationship Type="http://schemas.openxmlformats.org/officeDocument/2006/relationships/hyperlink" Id="rId52" Target="http://scholar.google.com/scholar_case?case=11171194144106283057" TargetMode="External" /><Relationship Type="http://schemas.openxmlformats.org/officeDocument/2006/relationships/hyperlink" Id="rId107" Target="http://scholar.google.com/scholar_case?case=1195336269698056315" TargetMode="External" /><Relationship Type="http://schemas.openxmlformats.org/officeDocument/2006/relationships/hyperlink" Id="rId66" Target="http://scholar.google.com/scholar_case?case=11977251527545760686" TargetMode="External" /><Relationship Type="http://schemas.openxmlformats.org/officeDocument/2006/relationships/hyperlink" Id="rId82" Target="http://scholar.google.com/scholar_case?case=1243301922700135667" TargetMode="External" /><Relationship Type="http://schemas.openxmlformats.org/officeDocument/2006/relationships/hyperlink" Id="rId48" Target="http://scholar.google.com/scholar_case?case=1248459050824146235" TargetMode="External" /><Relationship Type="http://schemas.openxmlformats.org/officeDocument/2006/relationships/hyperlink" Id="rId65" Target="http://scholar.google.com/scholar_case?case=12685855173622583678" TargetMode="External" /><Relationship Type="http://schemas.openxmlformats.org/officeDocument/2006/relationships/hyperlink" Id="rId63" Target="http://scholar.google.com/scholar_case?case=13134064098406124246" TargetMode="External" /><Relationship Type="http://schemas.openxmlformats.org/officeDocument/2006/relationships/hyperlink" Id="rId90" Target="http://scholar.google.com/scholar_case?case=13155838236565589433" TargetMode="External" /><Relationship Type="http://schemas.openxmlformats.org/officeDocument/2006/relationships/hyperlink" Id="rId60" Target="http://scholar.google.com/scholar_case?case=13178370409068522665" TargetMode="External" /><Relationship Type="http://schemas.openxmlformats.org/officeDocument/2006/relationships/hyperlink" Id="rId51" Target="http://scholar.google.com/scholar_case?case=14024880984831392427" TargetMode="External" /><Relationship Type="http://schemas.openxmlformats.org/officeDocument/2006/relationships/hyperlink" Id="rId68" Target="http://scholar.google.com/scholar_case?case=14367358885827043326" TargetMode="External" /><Relationship Type="http://schemas.openxmlformats.org/officeDocument/2006/relationships/hyperlink" Id="rId76" Target="http://scholar.google.com/scholar_case?case=14920951584418126067" TargetMode="External" /><Relationship Type="http://schemas.openxmlformats.org/officeDocument/2006/relationships/hyperlink" Id="rId83" Target="http://scholar.google.com/scholar_case?case=15457477938614677085" TargetMode="External" /><Relationship Type="http://schemas.openxmlformats.org/officeDocument/2006/relationships/hyperlink" Id="rId120" Target="http://scholar.google.com/scholar_case?case=15677821865807904301" TargetMode="External" /><Relationship Type="http://schemas.openxmlformats.org/officeDocument/2006/relationships/hyperlink" Id="rId67" Target="http://scholar.google.com/scholar_case?case=1569249983672754422" TargetMode="External" /><Relationship Type="http://schemas.openxmlformats.org/officeDocument/2006/relationships/hyperlink" Id="rId93" Target="http://scholar.google.com/scholar_case?case=15763501998860364615" TargetMode="External" /><Relationship Type="http://schemas.openxmlformats.org/officeDocument/2006/relationships/hyperlink" Id="rId128" Target="http://scholar.google.com/scholar_case?case=15986430636377550555" TargetMode="External" /><Relationship Type="http://schemas.openxmlformats.org/officeDocument/2006/relationships/hyperlink" Id="rId78" Target="http://scholar.google.com/scholar_case?case=16238771870259020023" TargetMode="External" /><Relationship Type="http://schemas.openxmlformats.org/officeDocument/2006/relationships/hyperlink" Id="rId142" Target="http://scholar.google.com/scholar_case?case=16551870099624462955" TargetMode="External" /><Relationship Type="http://schemas.openxmlformats.org/officeDocument/2006/relationships/hyperlink" Id="rId141" Target="http://scholar.google.com/scholar_case?case=16686162998040575773" TargetMode="External" /><Relationship Type="http://schemas.openxmlformats.org/officeDocument/2006/relationships/hyperlink" Id="rId143" Target="http://scholar.google.com/scholar_case?case=16845746302991569414" TargetMode="External" /><Relationship Type="http://schemas.openxmlformats.org/officeDocument/2006/relationships/hyperlink" Id="rId108" Target="http://scholar.google.com/scholar_case?case=16874877052780018691" TargetMode="External" /><Relationship Type="http://schemas.openxmlformats.org/officeDocument/2006/relationships/hyperlink" Id="rId102" Target="http://scholar.google.com/scholar_case?case=17261252493400805973" TargetMode="External" /><Relationship Type="http://schemas.openxmlformats.org/officeDocument/2006/relationships/hyperlink" Id="rId109"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5" Target="http://scholar.google.com/scholar_case?case=18127729155672659732" TargetMode="External" /><Relationship Type="http://schemas.openxmlformats.org/officeDocument/2006/relationships/hyperlink" Id="rId31" Target="http://scholar.google.com/scholar_case?case=1821155283282557167" TargetMode="External" /><Relationship Type="http://schemas.openxmlformats.org/officeDocument/2006/relationships/hyperlink" Id="rId46" Target="http://scholar.google.com/scholar_case?case=18211552832825571674" TargetMode="External" /><Relationship Type="http://schemas.openxmlformats.org/officeDocument/2006/relationships/hyperlink" Id="rId129" Target="http://scholar.google.com/scholar_case?case=1895254686188243951" TargetMode="External" /><Relationship Type="http://schemas.openxmlformats.org/officeDocument/2006/relationships/hyperlink" Id="rId88" Target="http://scholar.google.com/scholar_case?case=1917928030443042074" TargetMode="External" /><Relationship Type="http://schemas.openxmlformats.org/officeDocument/2006/relationships/hyperlink" Id="rId144" Target="http://scholar.google.com/scholar_case?case=287180442152313659" TargetMode="External" /><Relationship Type="http://schemas.openxmlformats.org/officeDocument/2006/relationships/hyperlink" Id="rId121" Target="http://scholar.google.com/scholar_case?case=3104326308181973639" TargetMode="External" /><Relationship Type="http://schemas.openxmlformats.org/officeDocument/2006/relationships/hyperlink" Id="rId42" Target="http://scholar.google.com/scholar_case?case=3389829714381222724" TargetMode="External" /><Relationship Type="http://schemas.openxmlformats.org/officeDocument/2006/relationships/hyperlink" Id="rId140" Target="http://scholar.google.com/scholar_case?case=3956106467746132778" TargetMode="External" /><Relationship Type="http://schemas.openxmlformats.org/officeDocument/2006/relationships/hyperlink" Id="rId41" Target="http://scholar.google.com/scholar_case?case=4464715402419059889" TargetMode="External" /><Relationship Type="http://schemas.openxmlformats.org/officeDocument/2006/relationships/hyperlink" Id="rId101" Target="http://scholar.google.com/scholar_case?case=5069891851949874011" TargetMode="External" /><Relationship Type="http://schemas.openxmlformats.org/officeDocument/2006/relationships/hyperlink" Id="rId49" Target="http://scholar.google.com/scholar_case?case=5659727933577637101" TargetMode="External" /><Relationship Type="http://schemas.openxmlformats.org/officeDocument/2006/relationships/hyperlink" Id="rId97" Target="http://scholar.google.com/scholar_case?case=6021003493814451958" TargetMode="External" /><Relationship Type="http://schemas.openxmlformats.org/officeDocument/2006/relationships/hyperlink" Id="rId80" Target="http://scholar.google.com/scholar_case?case=652682831136403786" TargetMode="External" /><Relationship Type="http://schemas.openxmlformats.org/officeDocument/2006/relationships/hyperlink" Id="rId81" Target="http://scholar.google.com/scholar_case?case=6630116352269581991"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24" Target="http://scholar.google.com/scholar_case?case=7398433541275578772" TargetMode="External" /><Relationship Type="http://schemas.openxmlformats.org/officeDocument/2006/relationships/hyperlink" Id="rId47" Target="http://scholar.google.com/scholar_case?case=7744604933524088722" TargetMode="External" /><Relationship Type="http://schemas.openxmlformats.org/officeDocument/2006/relationships/hyperlink" Id="rId123" Target="http://scholar.google.com/scholar_case?case=7757495192285749706"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127" Target="http://scholar.google.com/scholar_case?case=8962747084095843574" TargetMode="External" /><Relationship Type="http://schemas.openxmlformats.org/officeDocument/2006/relationships/hyperlink" Id="rId99" Target="http://scholar.google.com/scholar_case?case=9454760463773890610" TargetMode="External" /><Relationship Type="http://schemas.openxmlformats.org/officeDocument/2006/relationships/hyperlink" Id="rId126" Target="http://scholar.google.com/scholar_case?case=9738309099999149495" TargetMode="External" /><Relationship Type="http://schemas.openxmlformats.org/officeDocument/2006/relationships/hyperlink" Id="rId32"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7"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5"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57"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69" Target="http://www.hollywoodreporter.com/thr-esq/bing-crosbys-first-wife-denied-675755" TargetMode="External" /><Relationship Type="http://schemas.openxmlformats.org/officeDocument/2006/relationships/hyperlink" Id="rId164" Target="http://www.hollywoodreporter.com/thr-esq/call-duty-can-rudy-giuliani-734737" TargetMode="External" /><Relationship Type="http://schemas.openxmlformats.org/officeDocument/2006/relationships/hyperlink" Id="rId168" Target="http://www.hollywoodreporter.com/thr-esq/james-franco-sued-violating-film-699013" TargetMode="External" /><Relationship Type="http://schemas.openxmlformats.org/officeDocument/2006/relationships/hyperlink" Id="rId166"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9" Target="http://www.jurisnotes.com/IP/articles/acriticalexam.htm" TargetMode="External" /><Relationship Type="http://schemas.openxmlformats.org/officeDocument/2006/relationships/hyperlink" Id="rId162" Target="http://www.rcfp.org/browse-media-law-resources/news/high-court-strikes-down-state-son-sam-law" TargetMode="External" /><Relationship Type="http://schemas.openxmlformats.org/officeDocument/2006/relationships/hyperlink" Id="rId154" Target="http://www.tjcenter.org/ArtOnTrial/trademark.html" TargetMode="External" /><Relationship Type="http://schemas.openxmlformats.org/officeDocument/2006/relationships/hyperlink" Id="rId165" Target="http://www.washingtonpost.com/entertainment/celebrities/actress-heigl-sues-pharmacy-company-over-photo/2014/04/09/ffa1b0aa-c03a-11e3-9ee7-02c1e10a03f0_story.html" TargetMode="External" /></Relationships>
</file>

<file path=word/_rels/footnotes.xml.rels><?xml version="1.0" encoding="UTF-8"?>
<Relationships xmlns="http://schemas.openxmlformats.org/package/2006/relationships"><Relationship Type="http://schemas.openxmlformats.org/officeDocument/2006/relationships/hyperlink" Id="rId95"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0" Target="http://en.wikipedia.org/wiki/Rosa_Parks_v._LaFace_Records" TargetMode="External" /><Relationship Type="http://schemas.openxmlformats.org/officeDocument/2006/relationships/hyperlink" Id="rId58" Target="http://en.wikipedia.org/wiki/Zacchini_v._Scripps-Howard_Broadcasting_Co." TargetMode="External" /><Relationship Type="http://schemas.openxmlformats.org/officeDocument/2006/relationships/hyperlink" Id="rId85" Target="http://heinonline.org/HOL/LandingPage?handle=hein.journals/jocoso28&amp;div=12&amp;id=&amp;page=" TargetMode="External" /><Relationship Type="http://schemas.openxmlformats.org/officeDocument/2006/relationships/hyperlink" Id="rId156" Target="http://lawschool.westlaw.com/shared/westlawRedirect.aspx?task=find&amp;cite=15f3d432&amp;appflag=67.12" TargetMode="External" /><Relationship Type="http://schemas.openxmlformats.org/officeDocument/2006/relationships/hyperlink" Id="rId158" Target="http://lawschool.westlaw.com/shared/westlawRedirect.aspx?task=find&amp;cite=21+p3d+797&amp;appflag=67.12" TargetMode="External" /><Relationship Type="http://schemas.openxmlformats.org/officeDocument/2006/relationships/hyperlink" Id="rId161" Target="http://lawschool.westlaw.com/shared/westlawRedirect.aspx?task=find&amp;cite=27+Cal.4th+413&amp;appflag=67.12" TargetMode="External" /><Relationship Type="http://schemas.openxmlformats.org/officeDocument/2006/relationships/hyperlink" Id="rId39" Target="http://lawschool.westlaw.com/shared/westlawRedirect.aspx?task=find&amp;cite=296se2d697&amp;appflag=67.12" TargetMode="External" /><Relationship Type="http://schemas.openxmlformats.org/officeDocument/2006/relationships/hyperlink" Id="rId149" Target="http://lawschool.westlaw.com/shared/westlawRedirect.aspx?task=find&amp;cite=329+F.3d+437&amp;appflag=67.12" TargetMode="External" /><Relationship Type="http://schemas.openxmlformats.org/officeDocument/2006/relationships/hyperlink" Id="rId153" Target="http://lawschool.westlaw.com/shared/westlawRedirect.aspx?task=find&amp;cite=332f3d915&amp;appflag=67.12" TargetMode="External" /><Relationship Type="http://schemas.openxmlformats.org/officeDocument/2006/relationships/hyperlink" Id="rId57" Target="http://lawschool.westlaw.com/shared/westlawRedirect.aspx?task=find&amp;cite=433us562&amp;appflag=67.12" TargetMode="External" /><Relationship Type="http://schemas.openxmlformats.org/officeDocument/2006/relationships/hyperlink" Id="rId160" Target="http://lawschool.westlaw.com/shared/westlawRedirect.aspx?task=find&amp;cite=464fsupp426&amp;appflag=67.12" TargetMode="External" /><Relationship Type="http://schemas.openxmlformats.org/officeDocument/2006/relationships/hyperlink" Id="rId114"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4" Target="http://lawschool.westlaw.com/shared/westlawRedirect.aspx?task=find&amp;cite=971f2d1395&amp;appflag=67.12" TargetMode="External" /><Relationship Type="http://schemas.openxmlformats.org/officeDocument/2006/relationships/hyperlink" Id="rId38" Target="http://scholar.google.com/scholar_case?about=1102676940012657150" TargetMode="External" /><Relationship Type="http://schemas.openxmlformats.org/officeDocument/2006/relationships/hyperlink" Id="rId30" Target="http://scholar.google.com/scholar_case?about=1439996581741054102" TargetMode="External" /><Relationship Type="http://schemas.openxmlformats.org/officeDocument/2006/relationships/hyperlink" Id="rId44" Target="http://scholar.google.com/scholar_case?about=14399965817410541021" TargetMode="External" /><Relationship Type="http://schemas.openxmlformats.org/officeDocument/2006/relationships/hyperlink" Id="rId56" Target="http://scholar.google.com/scholar_case?about=16238771870259020023" TargetMode="External" /><Relationship Type="http://schemas.openxmlformats.org/officeDocument/2006/relationships/hyperlink" Id="rId113" Target="http://scholar.google.com/scholar_case?about=988401867966498877" TargetMode="External" /><Relationship Type="http://schemas.openxmlformats.org/officeDocument/2006/relationships/hyperlink" Id="rId61" Target="http://scholar.google.com/scholar_case?case=10183527771703896207" TargetMode="External" /><Relationship Type="http://schemas.openxmlformats.org/officeDocument/2006/relationships/hyperlink" Id="rId122" Target="http://scholar.google.com/scholar_case?case=10835027975367708871" TargetMode="External" /><Relationship Type="http://schemas.openxmlformats.org/officeDocument/2006/relationships/hyperlink" Id="rId79" Target="http://scholar.google.com/scholar_case?case=10950732871251474707" TargetMode="External" /><Relationship Type="http://schemas.openxmlformats.org/officeDocument/2006/relationships/hyperlink" Id="rId52" Target="http://scholar.google.com/scholar_case?case=11171194144106283057" TargetMode="External" /><Relationship Type="http://schemas.openxmlformats.org/officeDocument/2006/relationships/hyperlink" Id="rId107" Target="http://scholar.google.com/scholar_case?case=1195336269698056315" TargetMode="External" /><Relationship Type="http://schemas.openxmlformats.org/officeDocument/2006/relationships/hyperlink" Id="rId66" Target="http://scholar.google.com/scholar_case?case=11977251527545760686" TargetMode="External" /><Relationship Type="http://schemas.openxmlformats.org/officeDocument/2006/relationships/hyperlink" Id="rId82" Target="http://scholar.google.com/scholar_case?case=1243301922700135667" TargetMode="External" /><Relationship Type="http://schemas.openxmlformats.org/officeDocument/2006/relationships/hyperlink" Id="rId48" Target="http://scholar.google.com/scholar_case?case=1248459050824146235" TargetMode="External" /><Relationship Type="http://schemas.openxmlformats.org/officeDocument/2006/relationships/hyperlink" Id="rId65" Target="http://scholar.google.com/scholar_case?case=12685855173622583678" TargetMode="External" /><Relationship Type="http://schemas.openxmlformats.org/officeDocument/2006/relationships/hyperlink" Id="rId63" Target="http://scholar.google.com/scholar_case?case=13134064098406124246" TargetMode="External" /><Relationship Type="http://schemas.openxmlformats.org/officeDocument/2006/relationships/hyperlink" Id="rId90" Target="http://scholar.google.com/scholar_case?case=13155838236565589433" TargetMode="External" /><Relationship Type="http://schemas.openxmlformats.org/officeDocument/2006/relationships/hyperlink" Id="rId60" Target="http://scholar.google.com/scholar_case?case=13178370409068522665" TargetMode="External" /><Relationship Type="http://schemas.openxmlformats.org/officeDocument/2006/relationships/hyperlink" Id="rId51" Target="http://scholar.google.com/scholar_case?case=14024880984831392427" TargetMode="External" /><Relationship Type="http://schemas.openxmlformats.org/officeDocument/2006/relationships/hyperlink" Id="rId68" Target="http://scholar.google.com/scholar_case?case=14367358885827043326" TargetMode="External" /><Relationship Type="http://schemas.openxmlformats.org/officeDocument/2006/relationships/hyperlink" Id="rId76" Target="http://scholar.google.com/scholar_case?case=14920951584418126067" TargetMode="External" /><Relationship Type="http://schemas.openxmlformats.org/officeDocument/2006/relationships/hyperlink" Id="rId83" Target="http://scholar.google.com/scholar_case?case=15457477938614677085" TargetMode="External" /><Relationship Type="http://schemas.openxmlformats.org/officeDocument/2006/relationships/hyperlink" Id="rId120" Target="http://scholar.google.com/scholar_case?case=15677821865807904301" TargetMode="External" /><Relationship Type="http://schemas.openxmlformats.org/officeDocument/2006/relationships/hyperlink" Id="rId67" Target="http://scholar.google.com/scholar_case?case=1569249983672754422" TargetMode="External" /><Relationship Type="http://schemas.openxmlformats.org/officeDocument/2006/relationships/hyperlink" Id="rId93" Target="http://scholar.google.com/scholar_case?case=15763501998860364615" TargetMode="External" /><Relationship Type="http://schemas.openxmlformats.org/officeDocument/2006/relationships/hyperlink" Id="rId128" Target="http://scholar.google.com/scholar_case?case=15986430636377550555" TargetMode="External" /><Relationship Type="http://schemas.openxmlformats.org/officeDocument/2006/relationships/hyperlink" Id="rId78" Target="http://scholar.google.com/scholar_case?case=16238771870259020023" TargetMode="External" /><Relationship Type="http://schemas.openxmlformats.org/officeDocument/2006/relationships/hyperlink" Id="rId142" Target="http://scholar.google.com/scholar_case?case=16551870099624462955" TargetMode="External" /><Relationship Type="http://schemas.openxmlformats.org/officeDocument/2006/relationships/hyperlink" Id="rId141" Target="http://scholar.google.com/scholar_case?case=16686162998040575773" TargetMode="External" /><Relationship Type="http://schemas.openxmlformats.org/officeDocument/2006/relationships/hyperlink" Id="rId143" Target="http://scholar.google.com/scholar_case?case=16845746302991569414" TargetMode="External" /><Relationship Type="http://schemas.openxmlformats.org/officeDocument/2006/relationships/hyperlink" Id="rId108" Target="http://scholar.google.com/scholar_case?case=16874877052780018691" TargetMode="External" /><Relationship Type="http://schemas.openxmlformats.org/officeDocument/2006/relationships/hyperlink" Id="rId102" Target="http://scholar.google.com/scholar_case?case=17261252493400805973" TargetMode="External" /><Relationship Type="http://schemas.openxmlformats.org/officeDocument/2006/relationships/hyperlink" Id="rId109"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5" Target="http://scholar.google.com/scholar_case?case=18127729155672659732" TargetMode="External" /><Relationship Type="http://schemas.openxmlformats.org/officeDocument/2006/relationships/hyperlink" Id="rId31" Target="http://scholar.google.com/scholar_case?case=1821155283282557167" TargetMode="External" /><Relationship Type="http://schemas.openxmlformats.org/officeDocument/2006/relationships/hyperlink" Id="rId46" Target="http://scholar.google.com/scholar_case?case=18211552832825571674" TargetMode="External" /><Relationship Type="http://schemas.openxmlformats.org/officeDocument/2006/relationships/hyperlink" Id="rId129" Target="http://scholar.google.com/scholar_case?case=1895254686188243951" TargetMode="External" /><Relationship Type="http://schemas.openxmlformats.org/officeDocument/2006/relationships/hyperlink" Id="rId88" Target="http://scholar.google.com/scholar_case?case=1917928030443042074" TargetMode="External" /><Relationship Type="http://schemas.openxmlformats.org/officeDocument/2006/relationships/hyperlink" Id="rId144" Target="http://scholar.google.com/scholar_case?case=287180442152313659" TargetMode="External" /><Relationship Type="http://schemas.openxmlformats.org/officeDocument/2006/relationships/hyperlink" Id="rId121" Target="http://scholar.google.com/scholar_case?case=3104326308181973639" TargetMode="External" /><Relationship Type="http://schemas.openxmlformats.org/officeDocument/2006/relationships/hyperlink" Id="rId42" Target="http://scholar.google.com/scholar_case?case=3389829714381222724" TargetMode="External" /><Relationship Type="http://schemas.openxmlformats.org/officeDocument/2006/relationships/hyperlink" Id="rId140" Target="http://scholar.google.com/scholar_case?case=3956106467746132778" TargetMode="External" /><Relationship Type="http://schemas.openxmlformats.org/officeDocument/2006/relationships/hyperlink" Id="rId41" Target="http://scholar.google.com/scholar_case?case=4464715402419059889" TargetMode="External" /><Relationship Type="http://schemas.openxmlformats.org/officeDocument/2006/relationships/hyperlink" Id="rId101" Target="http://scholar.google.com/scholar_case?case=5069891851949874011" TargetMode="External" /><Relationship Type="http://schemas.openxmlformats.org/officeDocument/2006/relationships/hyperlink" Id="rId49" Target="http://scholar.google.com/scholar_case?case=5659727933577637101" TargetMode="External" /><Relationship Type="http://schemas.openxmlformats.org/officeDocument/2006/relationships/hyperlink" Id="rId97" Target="http://scholar.google.com/scholar_case?case=6021003493814451958" TargetMode="External" /><Relationship Type="http://schemas.openxmlformats.org/officeDocument/2006/relationships/hyperlink" Id="rId80" Target="http://scholar.google.com/scholar_case?case=652682831136403786" TargetMode="External" /><Relationship Type="http://schemas.openxmlformats.org/officeDocument/2006/relationships/hyperlink" Id="rId81" Target="http://scholar.google.com/scholar_case?case=6630116352269581991"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24" Target="http://scholar.google.com/scholar_case?case=7398433541275578772" TargetMode="External" /><Relationship Type="http://schemas.openxmlformats.org/officeDocument/2006/relationships/hyperlink" Id="rId47" Target="http://scholar.google.com/scholar_case?case=7744604933524088722" TargetMode="External" /><Relationship Type="http://schemas.openxmlformats.org/officeDocument/2006/relationships/hyperlink" Id="rId123" Target="http://scholar.google.com/scholar_case?case=7757495192285749706"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127" Target="http://scholar.google.com/scholar_case?case=8962747084095843574" TargetMode="External" /><Relationship Type="http://schemas.openxmlformats.org/officeDocument/2006/relationships/hyperlink" Id="rId99" Target="http://scholar.google.com/scholar_case?case=9454760463773890610" TargetMode="External" /><Relationship Type="http://schemas.openxmlformats.org/officeDocument/2006/relationships/hyperlink" Id="rId126" Target="http://scholar.google.com/scholar_case?case=9738309099999149495" TargetMode="External" /><Relationship Type="http://schemas.openxmlformats.org/officeDocument/2006/relationships/hyperlink" Id="rId32"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7"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5"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57"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69" Target="http://www.hollywoodreporter.com/thr-esq/bing-crosbys-first-wife-denied-675755" TargetMode="External" /><Relationship Type="http://schemas.openxmlformats.org/officeDocument/2006/relationships/hyperlink" Id="rId164" Target="http://www.hollywoodreporter.com/thr-esq/call-duty-can-rudy-giuliani-734737" TargetMode="External" /><Relationship Type="http://schemas.openxmlformats.org/officeDocument/2006/relationships/hyperlink" Id="rId168" Target="http://www.hollywoodreporter.com/thr-esq/james-franco-sued-violating-film-699013" TargetMode="External" /><Relationship Type="http://schemas.openxmlformats.org/officeDocument/2006/relationships/hyperlink" Id="rId166"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9" Target="http://www.jurisnotes.com/IP/articles/acriticalexam.htm" TargetMode="External" /><Relationship Type="http://schemas.openxmlformats.org/officeDocument/2006/relationships/hyperlink" Id="rId162" Target="http://www.rcfp.org/browse-media-law-resources/news/high-court-strikes-down-state-son-sam-law" TargetMode="External" /><Relationship Type="http://schemas.openxmlformats.org/officeDocument/2006/relationships/hyperlink" Id="rId154" Target="http://www.tjcenter.org/ArtOnTrial/trademark.html" TargetMode="External" /><Relationship Type="http://schemas.openxmlformats.org/officeDocument/2006/relationships/hyperlink" Id="rId165" Target="http://www.washingtonpost.com/entertainment/celebrities/actress-heigl-sues-pharmacy-company-over-photo/2014/04/09/ffa1b0aa-c03a-11e3-9ee7-02c1e10a03f0_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