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r>
        <w:t xml:space="preserve">Who owns the rights?</w:t>
      </w:r>
    </w:p>
    <w:p>
      <w:pPr>
        <w:pStyle w:val="Heading4"/>
      </w:pPr>
      <w:bookmarkStart w:id="24" w:name="ownership-of-copyright"/>
      <w:bookmarkEnd w:id="24"/>
      <w:r>
        <w:t xml:space="preserve">§ 201 . Ownership of copyright</w:t>
      </w:r>
    </w:p>
    <w:p>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hyperlink r:id="rId25">
        <w:r>
          <w:rPr>
            <w:rStyle w:val="Link"/>
          </w:rPr>
          <w:t xml:space="preserve">Copyright Act § 201</w:t>
        </w:r>
      </w:hyperlink>
    </w:p>
    <w:p>
      <w:pPr>
        <w:pStyle w:val="Heading2"/>
      </w:pPr>
      <w:bookmarkStart w:id="26" w:name="joint-authorship"/>
      <w:bookmarkEnd w:id="26"/>
      <w:r>
        <w:t xml:space="preserve">Joint Authorship</w:t>
      </w:r>
    </w:p>
    <w:p>
      <w:r>
        <w:t xml:space="preserve">The Copyright Act defines a "joint work" as:</w:t>
      </w:r>
    </w:p>
    <w:p>
      <w:pPr>
        <w:pStyle w:val="BlockQuote"/>
      </w:pPr>
      <w:r>
        <w:t xml:space="preserve">a work prepared by two or more authors with the intention that their contributions be merged into inseparable or interdependent parts of a unitary whole.</w:t>
      </w:r>
    </w:p>
    <w:p>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r>
        <w:t xml:space="preserve">These rules govern WHO OWNS THE COPYRIGHT at the outset. As always, the parties are free to adjust ownership by making deals for partial ownership of the copyright.</w:t>
      </w:r>
    </w:p>
    <w:p>
      <w:pPr>
        <w:pStyle w:val="BlockQuote"/>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Quote"/>
      </w:pPr>
      <w:r>
        <w:rPr>
          <w:i/>
        </w:rPr>
        <w:t xml:space="preserve">Childress v. Taylor</w:t>
      </w:r>
      <w:r>
        <w:t xml:space="preserve">, (2nd Cir. 1991)</w:t>
      </w:r>
    </w:p>
    <w:p>
      <w:pPr>
        <w:pStyle w:val="Heading3"/>
      </w:pPr>
      <w:bookmarkStart w:id="27" w:name="childress-v.-taylor"/>
      <w:bookmarkEnd w:id="27"/>
      <w:r>
        <w:rPr>
          <w:i/>
        </w:rPr>
        <w:t xml:space="preserve">Childress v. Taylor</w:t>
      </w:r>
    </w:p>
    <w:p>
      <w:pPr>
        <w:pStyle w:val="Heading6"/>
      </w:pPr>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Link"/>
          </w:rPr>
          <w:t xml:space="preserve">case on Google Scholar</w:t>
        </w:r>
      </w:hyperlink>
    </w:p>
    <w:p>
      <w:pPr>
        <w:pStyle w:val="Compact"/>
        <w:numPr>
          <w:numId w:val="1002"/>
          <w:ilvl w:val="0"/>
        </w:numPr>
      </w:pPr>
      <w:hyperlink r:id="rId30">
        <w:r>
          <w:rPr>
            <w:rStyle w:val="Link"/>
          </w:rPr>
          <w:t xml:space="preserve">case on Westlaw</w:t>
        </w:r>
      </w:hyperlink>
    </w:p>
    <w:p>
      <w:pPr>
        <w:pStyle w:val="Heading4"/>
      </w:pPr>
      <w:bookmarkStart w:id="31" w:name="case-summary"/>
      <w:bookmarkEnd w:id="31"/>
      <w:r>
        <w:t xml:space="preserve">Case summary</w:t>
      </w:r>
    </w:p>
    <w:p>
      <w:r>
        <w:t xml:space="preserve">Clarice Taylor, an actress, wanted to develop a play about the life of</w:t>
      </w:r>
      <w:r>
        <w:t xml:space="preserve"> </w:t>
      </w:r>
      <w:hyperlink r:id="rId32">
        <w:r>
          <w:rPr>
            <w:rStyle w:val="Link"/>
          </w:rPr>
          <w:t xml:space="preserve">"Moms" Mabley,</w:t>
        </w:r>
      </w:hyperlink>
      <w:r>
        <w:t xml:space="preserve"> </w:t>
      </w:r>
      <w:r>
        <w:t xml:space="preserve">an African-American vaudeville comedienne.</w:t>
      </w:r>
    </w:p>
    <w:p>
      <w:r>
        <w:t xml:space="preserve">Taylor began to collect material about “Moms” Mabley, interviewing Mabley's friends and family, collecting her jokes, and reviewing library resources.</w:t>
      </w:r>
    </w:p>
    <w:p>
      <w:r>
        <w:t xml:space="preserve">In 1985, Taylor contacted Alice Childress, a professional playwright who had won an</w:t>
      </w:r>
      <w:r>
        <w:t xml:space="preserve"> </w:t>
      </w:r>
      <w:hyperlink r:id="rId33">
        <w:r>
          <w:rPr>
            <w:rStyle w:val="Link"/>
          </w:rPr>
          <w:t xml:space="preserve">“Obie” award</w:t>
        </w:r>
      </w:hyperlink>
      <w:r>
        <w:t xml:space="preserve"> </w:t>
      </w:r>
      <w:r>
        <w:t xml:space="preserve">for her work and whose plays Taylor had acted in since the 1940s. Taylor wanted to hire Childress to write the play about "Moms," and Childress eventually agreed.</w:t>
      </w:r>
    </w:p>
    <w:p>
      <w:r>
        <w:t xml:space="preserve">Taylor turned over all of her research material to Childress, and later did further research at Childress's request. Taylor also paid Childress $2,500 as a down payment of sorts.</w:t>
      </w:r>
    </w:p>
    <w:p>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r>
        <w:t xml:space="preserve">Childress registered copyright in the play, and the two eventually had a falling out.</w:t>
      </w:r>
    </w:p>
    <w:p>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r>
        <w:t xml:space="preserve">The court rejected Taylor's claim of joint authorship holding that a work qualifies as a “joint work” under the definition section of the Copyright Act,</w:t>
      </w:r>
      <w:r>
        <w:t xml:space="preserve"> </w:t>
      </w:r>
      <w:hyperlink r:id="rId34">
        <w:r>
          <w:rPr>
            <w:rStyle w:val="Link"/>
          </w:rPr>
          <w:t xml:space="preserve">17 U.S.C. § 101</w:t>
        </w:r>
      </w:hyperlink>
      <w:r>
        <w:t xml:space="preserve"> </w:t>
      </w:r>
      <w:r>
        <w:t xml:space="preserve">only when</w:t>
      </w:r>
    </w:p>
    <w:p>
      <w:pPr>
        <w:pStyle w:val="BlockQuote"/>
      </w:pPr>
      <w:r>
        <w:rPr>
          <w:b/>
        </w:rPr>
        <w:t xml:space="preserve">both authors intended, at the time the work was created, “that their contributions be merged into inseparable or interdependent parts of a unitary whole,”</w:t>
      </w:r>
    </w:p>
    <w:p>
      <w:r>
        <w:t xml:space="preserve">and there was not enough evidence that Childress had such an intent at the time she wrote "Moms."</w:t>
      </w:r>
    </w:p>
    <w:p>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r>
        <w:t xml:space="preserve">Also no evidence suggested that Taylor's role ever evolved beyond helpful advice, the same kind of advice that might come from the cast, the directors, or the producers of any play.</w:t>
      </w:r>
    </w:p>
    <w:p>
      <w:r>
        <w:t xml:space="preserve">Writing for the United States Second Circuit Court of Appeals, Judge Jon O. Newman put it this way:</w:t>
      </w:r>
    </w:p>
    <w:p>
      <w:pPr>
        <w:pStyle w:val="BlockQuote"/>
      </w:pPr>
      <w:r>
        <w:t xml:space="preserve">A playwright does not so easily acquire a co-author.</w:t>
      </w:r>
    </w:p>
    <w:p>
      <w:pPr>
        <w:pStyle w:val="Heading4"/>
      </w:pPr>
      <w:bookmarkStart w:id="35" w:name="excerpts-from-childress-opinion"/>
      <w:bookmarkEnd w:id="35"/>
      <w:r>
        <w:t xml:space="preserve">Excerpts From</w:t>
      </w:r>
      <w:r>
        <w:t xml:space="preserve"> </w:t>
      </w:r>
      <w:r>
        <w:rPr>
          <w:i/>
        </w:rPr>
        <w:t xml:space="preserve">Childress</w:t>
      </w:r>
      <w:r>
        <w:t xml:space="preserve"> </w:t>
      </w:r>
      <w:r>
        <w:t xml:space="preserve">opinion</w:t>
      </w:r>
    </w:p>
    <w:p>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r>
        <w:t xml:space="preserve">Nevertheless, we are persuaded to side with the position taken by the case law and endorsed by the agency administering the Copyright Act. The insistence on copyrightable contributions by all putative joint authors might serve to prevent some spurious claims by those who might otherwise try to share the fruits of the efforts of a sole author of a copyrightable work, even though a claim of having contributed copyrightable material could be asserted by those so inclined. More important, 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Link"/>
          </w:rPr>
          <w:t xml:space="preserve">17 U.S.C. §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r>
        <w:rPr>
          <w:i/>
        </w:rPr>
        <w:t xml:space="preserve">Id.</w:t>
      </w:r>
      <w:r>
        <w:t xml:space="preserve"> </w:t>
      </w:r>
      <w:hyperlink r:id="rId25">
        <w:r>
          <w:rPr>
            <w:rStyle w:val="Link"/>
          </w:rPr>
          <w:t xml:space="preserve">§ 201(d)</w:t>
        </w:r>
      </w:hyperlink>
      <w:r>
        <w:t xml:space="preserve">. And, as with all contract matters, the parties may minimize subsequent disputes by formalizing their agreement in a written contract.</w:t>
      </w:r>
      <w:r>
        <w:t xml:space="preserve"> </w:t>
      </w:r>
      <w:r>
        <w:rPr>
          <w:i/>
        </w:rPr>
        <w:t xml:space="preserve">Cf.</w:t>
      </w:r>
      <w:r>
        <w:t xml:space="preserve"> </w:t>
      </w:r>
      <w:hyperlink r:id="rId34">
        <w:r>
          <w:rPr>
            <w:rStyle w:val="Link"/>
          </w:rPr>
          <w:t xml:space="preserve">17 U.S.C. §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r>
        <w:t xml:space="preserve">There remains for consideration the crucial aspect of joint authorship — the nature of the intent that must be entertained by each putative joint author at the time the contribution of each was created. The wording of the statutory definition appears to make relevant only the state of mind regarding the unitary nature of the finished work —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Link"/>
          </w:rPr>
          <w:t xml:space="preserve">17 U.S.C. §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Link"/>
          </w:rPr>
          <w:t xml:space="preserve">17 U.S.C. § 201(d)</w:t>
        </w:r>
      </w:hyperlink>
      <w:r>
        <w:t xml:space="preserve">.…</w:t>
      </w:r>
    </w:p>
    <w:p>
      <w:r>
        <w:t xml:space="preserve">There is no evidence that Childress ever contemplated, much less would have accepted, crediting the play as "written by Alice Childress and Clarice Taylor."</w:t>
      </w:r>
    </w:p>
    <w:p>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6" w:name="commentary-on-childress"/>
      <w:bookmarkEnd w:id="36"/>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7">
        <w:r>
          <w:rPr>
            <w:i/>
            <w:rStyle w:val="Link"/>
          </w:rPr>
          <w:t xml:space="preserve">When does an Editor’s input create a Joint Work of Authorship?</w:t>
        </w:r>
      </w:hyperlink>
    </w:p>
    <w:p>
      <w:pPr>
        <w:pStyle w:val="Heading2"/>
      </w:pPr>
      <w:bookmarkStart w:id="38" w:name="works-made-for-hire"/>
      <w:bookmarkEnd w:id="38"/>
      <w:r>
        <w:t xml:space="preserve">Works Made For Hire</w:t>
      </w:r>
    </w:p>
    <w:p>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Link"/>
          </w:rPr>
          <w:t xml:space="preserve">joint work</w:t>
        </w:r>
      </w:hyperlink>
      <w:r>
        <w:t xml:space="preserve">, then they are both authors and coowners of copyright in the work.</w:t>
      </w:r>
    </w:p>
    <w:p>
      <w:r>
        <w:t xml:space="preserve">But what about hired guns? What happens if somebody else pays the author to create the work? Shouldn't the person who hired the author own the copyright in the work? Yes.</w:t>
      </w:r>
    </w:p>
    <w:p>
      <w:r>
        <w:t xml:space="preserve">The copyright statute calls this a "work made for hire," and says that</w:t>
      </w:r>
      <w:r>
        <w:t xml:space="preserve"> </w:t>
      </w:r>
      <w:hyperlink r:id="rId25">
        <w:r>
          <w:rPr>
            <w:rStyle w:val="Link"/>
          </w:rPr>
          <w:t xml:space="preserve">"the employer or other person for whom the work was prepared"</w:t>
        </w:r>
      </w:hyperlink>
      <w:r>
        <w:t xml:space="preserve"> </w:t>
      </w:r>
      <w:r>
        <w:t xml:space="preserve">is considered the author of the copyrighted work.</w:t>
      </w:r>
    </w:p>
    <w:p>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r>
        <w:t xml:space="preserve">Under</w:t>
      </w:r>
      <w:r>
        <w:t xml:space="preserve"> </w:t>
      </w:r>
      <w:hyperlink r:id="rId34">
        <w:r>
          <w:rPr>
            <w:rStyle w:val="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r>
        <w:t xml:space="preserve">In the next case, the United States Supreme Court applies these straightforward provisions to a messy set of facts. In the words of Francois La Rochefoucauld:</w:t>
      </w:r>
    </w:p>
    <w:p>
      <w:pPr>
        <w:pStyle w:val="BlockQuote"/>
      </w:pPr>
      <w:r>
        <w:t xml:space="preserve">There is nothing more horrible than the murder of a beautiful theory by a gang of brutal facts.</w:t>
      </w:r>
    </w:p>
    <w:p>
      <w:pPr>
        <w:pStyle w:val="Heading3"/>
      </w:pPr>
      <w:bookmarkStart w:id="39" w:name="community-for-creative-non-violence-v.-reid"/>
      <w:bookmarkEnd w:id="39"/>
      <w:r>
        <w:rPr>
          <w:i/>
        </w:rPr>
        <w:t xml:space="preserve">Community For Creative Non-Violence v. Reid</w:t>
      </w:r>
    </w:p>
    <w:p>
      <w:pPr>
        <w:pStyle w:val="Heading6"/>
      </w:pPr>
      <w:bookmarkStart w:id="40" w:name="united-states-supreme-court-1989."/>
      <w:bookmarkEnd w:id="40"/>
      <w:r>
        <w:t xml:space="preserve">United States Supreme Court (1989).</w:t>
      </w:r>
    </w:p>
    <w:p>
      <w:pPr>
        <w:pStyle w:val="Compact"/>
        <w:numPr>
          <w:numId w:val="1007"/>
          <w:ilvl w:val="0"/>
        </w:numPr>
      </w:pPr>
      <w:hyperlink r:id="rId41">
        <w:r>
          <w:rPr>
            <w:rStyle w:val="Link"/>
          </w:rPr>
          <w:t xml:space="preserve">case on Google Scholar</w:t>
        </w:r>
      </w:hyperlink>
    </w:p>
    <w:p>
      <w:pPr>
        <w:pStyle w:val="Compact"/>
        <w:numPr>
          <w:numId w:val="1007"/>
          <w:ilvl w:val="0"/>
        </w:numPr>
      </w:pPr>
      <w:hyperlink r:id="rId42">
        <w:r>
          <w:rPr>
            <w:rStyle w:val="Link"/>
          </w:rPr>
          <w:t xml:space="preserve">case on Westlaw</w:t>
        </w:r>
      </w:hyperlink>
    </w:p>
    <w:p>
      <w:pPr>
        <w:pStyle w:val="Compact"/>
        <w:numPr>
          <w:numId w:val="1007"/>
          <w:ilvl w:val="0"/>
        </w:numPr>
      </w:pPr>
      <w:hyperlink r:id="rId43">
        <w:r>
          <w:rPr>
            <w:rStyle w:val="Link"/>
          </w:rPr>
          <w:t xml:space="preserve">Wikipedia</w:t>
        </w:r>
      </w:hyperlink>
      <w:r>
        <w:t xml:space="preserve">.</w:t>
      </w:r>
    </w:p>
    <w:p>
      <w:r>
        <w:t xml:space="preserve">Please read this case in its entirety by</w:t>
      </w:r>
      <w:r>
        <w:t xml:space="preserve"> </w:t>
      </w:r>
      <w:hyperlink r:id="rId42">
        <w:r>
          <w:rPr>
            <w:rStyle w:val="Link"/>
          </w:rPr>
          <w:t xml:space="preserve">downloading from Westlaw</w:t>
        </w:r>
      </w:hyperlink>
      <w:r>
        <w:t xml:space="preserve">, or</w:t>
      </w:r>
      <w:r>
        <w:t xml:space="preserve"> </w:t>
      </w:r>
      <w:hyperlink r:id="rId41">
        <w:r>
          <w:rPr>
            <w:rStyle w:val="Link"/>
          </w:rPr>
          <w:t xml:space="preserve">reading at Google Scholar</w:t>
        </w:r>
      </w:hyperlink>
      <w:r>
        <w:t xml:space="preserve">.</w:t>
      </w:r>
    </w:p>
    <w:p>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empolyee or independent contractor.</w:t>
      </w:r>
    </w:p>
    <w:p>
      <w:pPr>
        <w:pStyle w:val="Heading2"/>
      </w:pPr>
      <w:bookmarkStart w:id="44" w:name="licensing"/>
      <w:bookmarkEnd w:id="44"/>
      <w:r>
        <w:t xml:space="preserve">Licensing</w:t>
      </w:r>
    </w:p>
    <w:p>
      <w:r>
        <w:t xml:space="preserve">Courts must often apply old contract language to new technologies.</w:t>
      </w:r>
    </w:p>
    <w:p>
      <w:r>
        <w:t xml:space="preserve">Suppose an author licenses a publisher to print her books in hardcover or paperback. Does that license also include the right to publish the same book as an e-book? What if e-book technology did not exist the author made the original publishing deal?</w:t>
      </w:r>
    </w:p>
    <w:p>
      <w:r>
        <w:t xml:space="preserve">What happens when a person with a license to exhibit a movie on television now wants to exhibit a movie using VCR tapes or DVD discs? What if these technologies didn't even exist when the artist made his deal with the studio?</w:t>
      </w:r>
    </w:p>
    <w:p>
      <w:r>
        <w:t xml:space="preserve">That's the story of</w:t>
      </w:r>
      <w:r>
        <w:t xml:space="preserve"> </w:t>
      </w:r>
      <w:r>
        <w:rPr>
          <w:i/>
        </w:rPr>
        <w:t xml:space="preserve">Cohen v. Paramount.</w:t>
      </w:r>
    </w:p>
    <w:p>
      <w:pPr>
        <w:pStyle w:val="Heading3"/>
      </w:pPr>
      <w:bookmarkStart w:id="45" w:name="cohen-v.-paramount-pictures-corp."/>
      <w:bookmarkEnd w:id="45"/>
      <w:r>
        <w:t xml:space="preserve">Cohen v. Paramount Pictures Corp.</w:t>
      </w:r>
    </w:p>
    <w:p>
      <w:pPr>
        <w:pStyle w:val="Heading6"/>
      </w:pPr>
      <w:bookmarkStart w:id="46" w:name="united-states-court-of-appeals-for-the-ninth-circuit-1988"/>
      <w:bookmarkEnd w:id="46"/>
      <w:r>
        <w:t xml:space="preserve">United States Court of Appeals For The Ninth Circuit (1988)</w:t>
      </w:r>
    </w:p>
    <w:p>
      <w:pPr>
        <w:pStyle w:val="Compact"/>
        <w:numPr>
          <w:numId w:val="1008"/>
          <w:ilvl w:val="0"/>
        </w:numPr>
      </w:pPr>
      <w:hyperlink r:id="rId47">
        <w:r>
          <w:rPr>
            <w:rStyle w:val="Link"/>
          </w:rPr>
          <w:t xml:space="preserve">case on Google Scholar</w:t>
        </w:r>
      </w:hyperlink>
    </w:p>
    <w:p>
      <w:pPr>
        <w:pStyle w:val="Compact"/>
        <w:numPr>
          <w:numId w:val="1008"/>
          <w:ilvl w:val="0"/>
        </w:numPr>
      </w:pPr>
      <w:hyperlink r:id="rId48">
        <w:r>
          <w:rPr>
            <w:rStyle w:val="Link"/>
          </w:rPr>
          <w:t xml:space="preserve">case on Westlaw</w:t>
        </w:r>
      </w:hyperlink>
    </w:p>
    <w:p>
      <w:r>
        <w:t xml:space="preserve">HUG, Circuit Judge:</w:t>
      </w:r>
    </w:p>
    <w:p>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9" w:name="facts"/>
      <w:bookmarkEnd w:id="49"/>
      <w:r>
        <w:t xml:space="preserve">FACTS</w:t>
      </w:r>
    </w:p>
    <w:p>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50" w:name="discussion"/>
      <w:bookmarkEnd w:id="50"/>
      <w:r>
        <w:t xml:space="preserve">DISCUSSION</w:t>
      </w:r>
    </w:p>
    <w:p>
      <w:r>
        <w:t xml:space="preserve">[ … ]</w:t>
      </w:r>
    </w:p>
    <w:p>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r>
        <w:t xml:space="preserve">Paragraph 4 states:</w:t>
      </w:r>
    </w:p>
    <w:p>
      <w:pPr>
        <w:pStyle w:val="BlockQuote"/>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r>
        <w:t xml:space="preserve">Finally, paragraph 6 of the license reserves to the grantor:</w:t>
      </w:r>
    </w:p>
    <w:p>
      <w:pPr>
        <w:pStyle w:val="BlockQuote"/>
      </w:pPr>
      <w:r>
        <w:t xml:space="preserve">all rights and uses in and to said musical composition, except those herein granted to the Licensee.…"</w:t>
      </w:r>
    </w:p>
    <w:p>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r>
        <w:t xml:space="preserve">One of the separate rights of copyright, as enumerated in</w:t>
      </w:r>
      <w:r>
        <w:t xml:space="preserve"> </w:t>
      </w:r>
      <w:hyperlink r:id="rId51">
        <w:r>
          <w:rPr>
            <w:rStyle w:val="Link"/>
          </w:rPr>
          <w:t xml:space="preserve">section 106</w:t>
        </w:r>
      </w:hyperlink>
      <w:r>
        <w:t xml:space="preserve"> </w:t>
      </w:r>
      <w:r>
        <w:t xml:space="preserve">of the Copyright Act, is the right:</w:t>
      </w:r>
    </w:p>
    <w:p>
      <w:pPr>
        <w:pStyle w:val="BlockQuote"/>
      </w:pPr>
      <w:r>
        <w:t xml:space="preserve">to distribute copies or phonorecords of the copyrighted work to the public by sale or other transfer of ownership, or by rental, lease, or lending.</w:t>
      </w:r>
    </w:p>
    <w:p>
      <w:hyperlink r:id="rId51">
        <w:r>
          <w:rPr>
            <w:rStyle w:val="Link"/>
          </w:rPr>
          <w:t xml:space="preserve">17 U.S.C. § 106(3)</w:t>
        </w:r>
      </w:hyperlink>
      <w:r>
        <w:t xml:space="preserve">.</w:t>
      </w:r>
    </w:p>
    <w:p>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r>
        <w:t xml:space="preserve">The limitation on the right to perform the synchronization with the composition in it is found in paragraph 4 and that paragraph limits the right to perform, or to authorize others to perform, to: 4(a) exhibition of the motion picture to audiences in motion picture theatres and other places of public entertainment where motion pictures are customarily shown, and 4(b) exhibition of the motion picture by means of television, including pay television, subscription television, and "closed circuit into homes" television.</w:t>
      </w:r>
    </w:p>
    <w:p>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 — 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emphemeral (sic) and beyond the viewer's grasp.</w:t>
      </w:r>
    </w:p>
    <w:p>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2">
        <w:r>
          <w:rPr>
            <w:i/>
            <w:rStyle w:val="Link"/>
          </w:rPr>
          <w:t xml:space="preserve">Washington Publishing Co. v. Pearson,</w:t>
        </w:r>
        <w:r>
          <w:rPr>
            <w:rStyle w:val="Link"/>
          </w:rPr>
          <w:t xml:space="preserve"> </w:t>
        </w:r>
        <w:r>
          <w:rPr>
            <w:rStyle w:val="Link"/>
          </w:rPr>
          <w:t xml:space="preserve">(1939)</w:t>
        </w:r>
      </w:hyperlink>
      <w:r>
        <w:t xml:space="preserve">;</w:t>
      </w:r>
      <w:r>
        <w:t xml:space="preserve"> </w:t>
      </w:r>
      <w:hyperlink r:id="rId53">
        <w:r>
          <w:rPr>
            <w:i/>
            <w:rStyle w:val="Link"/>
          </w:rPr>
          <w:t xml:space="preserve">Scott v. WKJG, Inc.,</w:t>
        </w:r>
        <w:r>
          <w:rPr>
            <w:rStyle w:val="Link"/>
          </w:rPr>
          <w:t xml:space="preserve"> </w:t>
        </w:r>
        <w:r>
          <w:rPr>
            <w:rStyle w:val="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4">
        <w:r>
          <w:rPr>
            <w:i/>
            <w:rStyle w:val="Link"/>
          </w:rPr>
          <w:t xml:space="preserve">Jondora Music Publishing Co. v. Melody Recordings, Inc.,</w:t>
        </w:r>
        <w:r>
          <w:rPr>
            <w:rStyle w:val="Link"/>
          </w:rPr>
          <w:t xml:space="preserve"> </w:t>
        </w:r>
        <w:r>
          <w:rPr>
            <w:rStyle w:val="Link"/>
          </w:rPr>
          <w:t xml:space="preserve">(3d Cir.)</w:t>
        </w:r>
      </w:hyperlink>
      <w:r>
        <w:t xml:space="preserve"> </w:t>
      </w:r>
      <w:r>
        <w:t xml:space="preserve">(as amended),</w:t>
      </w:r>
      <w:r>
        <w:t xml:space="preserve"> </w:t>
      </w:r>
      <w:r>
        <w:rPr>
          <w:i/>
        </w:rPr>
        <w:t xml:space="preserve">cert. denied,</w:t>
      </w:r>
      <w:r>
        <w:t xml:space="preserve"> </w:t>
      </w:r>
      <w:hyperlink r:id="rId55">
        <w:r>
          <w:rPr>
            <w:rStyle w:val="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r>
        <w:t xml:space="preserve">Paramount directs our attention to two district court cases, which, it contends, compel the opposite result. Both, however, involve licenses that contain language markedly different from the language in the license at hand.</w:t>
      </w:r>
    </w:p>
    <w:p>
      <w:hyperlink r:id="rId56">
        <w:r>
          <w:rPr>
            <w:i/>
            <w:rStyle w:val="Link"/>
          </w:rPr>
          <w:t xml:space="preserve">Platinum Record Company, Inc. v. Lucasfilm, Ltd.,</w:t>
        </w:r>
        <w:r>
          <w:rPr>
            <w:rStyle w:val="Link"/>
          </w:rPr>
          <w:t xml:space="preserve"> </w:t>
        </w:r>
        <w:r>
          <w:rPr>
            <w:rStyle w:val="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Quote"/>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r>
        <w:t xml:space="preserve">Similarly, the district court in</w:t>
      </w:r>
      <w:r>
        <w:t xml:space="preserve"> </w:t>
      </w:r>
      <w:hyperlink r:id="rId57">
        <w:r>
          <w:rPr>
            <w:i/>
            <w:rStyle w:val="Link"/>
          </w:rPr>
          <w:t xml:space="preserve">Rooney v. Columbia Pictures Industries, Inc.,</w:t>
        </w:r>
        <w:r>
          <w:rPr>
            <w:rStyle w:val="Link"/>
          </w:rPr>
          <w:t xml:space="preserve"> </w:t>
        </w:r>
        <w:r>
          <w:rPr>
            <w:rStyle w:val="Link"/>
          </w:rPr>
          <w:t xml:space="preserve">(S.D.N.Y.1982),</w:t>
        </w:r>
      </w:hyperlink>
      <w:r>
        <w:t xml:space="preserve"> </w:t>
      </w:r>
      <w:r>
        <w:rPr>
          <w:i/>
        </w:rPr>
        <w:t xml:space="preserve">aff'd,</w:t>
      </w:r>
      <w:r>
        <w:t xml:space="preserve"> </w:t>
      </w:r>
      <w:hyperlink r:id="rId58">
        <w:r>
          <w:rPr>
            <w:rStyle w:val="Link"/>
          </w:rPr>
          <w:t xml:space="preserve">(2d Cir.1982),</w:t>
        </w:r>
      </w:hyperlink>
      <w:r>
        <w:t xml:space="preserve"> </w:t>
      </w:r>
      <w:r>
        <w:rPr>
          <w:i/>
        </w:rPr>
        <w:t xml:space="preserve">cert. denied,</w:t>
      </w:r>
      <w:r>
        <w:t xml:space="preserve"> </w:t>
      </w:r>
      <w:hyperlink r:id="rId59">
        <w:r>
          <w:rPr>
            <w:rStyle w:val="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Quote"/>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0" w:name="conclusion"/>
      <w:bookmarkEnd w:id="60"/>
      <w:r>
        <w:t xml:space="preserve">CONCLUSION</w:t>
      </w:r>
    </w:p>
    <w:p>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r>
        <w:t xml:space="preserve">REVERSED and REMANDED.</w:t>
      </w:r>
    </w:p>
    <w:p>
      <w:pPr>
        <w:pStyle w:val="Heading5"/>
      </w:pPr>
      <w:bookmarkStart w:id="61" w:name="dooling-case-summary-from-slides"/>
      <w:bookmarkEnd w:id="61"/>
      <w:r>
        <w:t xml:space="preserve">Dooling Case Summary (from slides)</w:t>
      </w:r>
    </w:p>
    <w:p>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r>
        <w:t xml:space="preserve">The license also gave Paramount the right to exhibit the movie "by means of television, including pay television, subscription television, and closed circuit into homes television."</w:t>
      </w:r>
    </w:p>
    <w:p>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r>
        <w:t xml:space="preserve">Cohen sued for copyright violation and won.</w:t>
      </w:r>
    </w:p>
    <w:p>
      <w:r>
        <w:t xml:space="preserve">A license conferring the right to exhibit a film "by means of television" DOES NOT include the right to distribute videocassettes of the film.</w:t>
      </w:r>
    </w:p>
    <w:p>
      <w:r>
        <w:t xml:space="preserve">The license Cohen granted held back:</w:t>
      </w:r>
    </w:p>
    <w:p>
      <w:pPr>
        <w:pStyle w:val="BlockQuote"/>
      </w:pPr>
      <w:r>
        <w:t xml:space="preserve">all rights and uses in and to said musical composition, except those herein granted to the licensee . . .</w:t>
      </w:r>
    </w:p>
    <w:p>
      <w:r>
        <w:t xml:space="preserve">The court found that this language limited uses to those known or contemplated by the parties.</w:t>
      </w:r>
    </w:p>
    <w:p>
      <w:r>
        <w:t xml:space="preserve">When Cohen signed the deal in 1969, videocassette recorders (VCRs) had not been invented yet, so Cohen could not have known he was selling the right to display a movie using his song on videocassette.</w:t>
      </w:r>
    </w:p>
    <w:p>
      <w:r>
        <w:t xml:space="preserve">Paramount argued that the terms of Cohen's license were similar to agreements in two other other early videocassette cases, in which an original grant :</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&gt;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 &gt;</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r>
        <w:t xml:space="preserve">The court ruled that these two licenses indeed included the right to make the work available on videocassette, but only because the terms used</w:t>
      </w:r>
      <w:r>
        <w:br w:type="textWrapping"/>
      </w:r>
      <w:r>
        <w:t xml:space="preserve">were far broader and more inclusive than than the language in Cohen's deal:</w:t>
      </w:r>
    </w:p>
    <w:p>
      <w:pPr>
        <w:pStyle w:val="BlockQuote"/>
      </w:pPr>
      <w:r>
        <w:t xml:space="preserve">all rights and uses in and to said musical composition, except those herein granted to the licensee . . .</w:t>
      </w:r>
    </w:p>
    <w:p>
      <w:r>
        <w:t xml:space="preserve">And the court noted that Cohen had expressly reserved any rights not transferred.</w:t>
      </w:r>
    </w:p>
    <w:p>
      <w:pPr>
        <w:pStyle w:val="Heading3"/>
      </w:pPr>
      <w:bookmarkStart w:id="62" w:name="effects-associates-v.-cohen-9th-cir.-1990"/>
      <w:bookmarkEnd w:id="62"/>
      <w:r>
        <w:rPr>
          <w:i/>
        </w:rPr>
        <w:t xml:space="preserve">Effects Associates v. Cohen</w:t>
      </w:r>
      <w:r>
        <w:t xml:space="preserve"> </w:t>
      </w:r>
      <w:r>
        <w:t xml:space="preserve">(9th Cir. 1990)</w:t>
      </w:r>
    </w:p>
    <w:p>
      <w:pPr>
        <w:pStyle w:val="Heading6"/>
      </w:pPr>
      <w:bookmarkStart w:id="63" w:name="united-states-court-of-appeals-for-the-ninth-circuit-1990"/>
      <w:bookmarkEnd w:id="63"/>
      <w:r>
        <w:t xml:space="preserve">United States Court of Appeals for the Ninth Circuit (1990)</w:t>
      </w:r>
    </w:p>
    <w:p>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r>
        <w:t xml:space="preserve">Cohen hired Effects Associates to make some special effects for the movie, including video showing the climactic explosion of a factory where The Stuff was mass-produced.</w:t>
      </w:r>
    </w:p>
    <w:p>
      <w:r>
        <w:t xml:space="preserve">Cohen orally promised to pay Effects Associates $64,000 for creating the special effects.</w:t>
      </w:r>
    </w:p>
    <w:p>
      <w:r>
        <w:t xml:space="preserve">No written agreement and no discussion about who would own the copyright to the special effects footage.</w:t>
      </w:r>
    </w:p>
    <w:p>
      <w:r>
        <w:t xml:space="preserve">Effects Associates delivered the special effects as promised, but Cohen was unhappy about the factory explosion, and so paid only half of the promised amount for that sequence, for a total of $56,000.</w:t>
      </w:r>
    </w:p>
    <w:p>
      <w:r>
        <w:t xml:space="preserve">Effects Associates made several demands for the rest of the agreed sum (a little over $8,000), but Cohen refused to pay.</w:t>
      </w:r>
    </w:p>
    <w:p>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r>
        <w:t xml:space="preserve">Effects Associates sued for copyright infringement, claiming that Cohen (along with his production company and New World) had no right to use the special effects footage unless Cohen paid Effects Associates the full contract price.</w:t>
      </w:r>
    </w:p>
    <w:p>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r>
        <w:t xml:space="preserve">The court called copyright ownership "a bundle of rights":</w:t>
      </w:r>
    </w:p>
    <w:p>
      <w:pPr>
        <w:pStyle w:val="BlockQuote"/>
      </w:pPr>
      <w:r>
        <w:t xml:space="preserve">In granting a nonexclusive license to Cohen, Effects has given up only one stick from that bundle--- 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r>
        <w:t xml:space="preserve">See for yourself!</w:t>
      </w:r>
      <w:r>
        <w:t xml:space="preserve"> </w:t>
      </w:r>
      <w:hyperlink r:id="rId64">
        <w:r>
          <w:rPr>
            <w:rStyle w:val="Link"/>
          </w:rPr>
          <w:t xml:space="preserve">YouTube: The Disputed Footage In</w:t>
        </w:r>
        <w:r>
          <w:rPr>
            <w:rStyle w:val="Link"/>
          </w:rPr>
          <w:t xml:space="preserve"> </w:t>
        </w:r>
        <w:r>
          <w:rPr>
            <w:i/>
            <w:rStyle w:val="Link"/>
          </w:rPr>
          <w:t xml:space="preserve">Cohen</w:t>
        </w:r>
      </w:hyperlink>
      <w:r>
        <w:t xml:space="preserve">.</w:t>
      </w:r>
    </w:p>
    <w:p>
      <w:pPr>
        <w:pStyle w:val="Heading2"/>
      </w:pPr>
      <w:bookmarkStart w:id="65" w:name="digital-sampling-and-imaging"/>
      <w:bookmarkEnd w:id="65"/>
      <w:r>
        <w:t xml:space="preserve">Digital Sampling and Imaging</w:t>
      </w:r>
    </w:p>
    <w:p>
      <w:hyperlink r:id="rId66">
        <w:r>
          <w:rPr>
            <w:rStyle w:val="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DefinitionTerm"/>
      </w:pPr>
      <w:r>
        <w:t xml:space="preserve">A musical composition:</w:t>
      </w:r>
    </w:p>
    <w:p>
      <w:pPr>
        <w:pStyle w:val="Compact"/>
        <w:pStyle w:val="Definition"/>
      </w:pP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DefinitionTerm"/>
      </w:pPr>
      <w:r>
        <w:t xml:space="preserve">A sound recording:</w:t>
      </w:r>
    </w:p>
    <w:p>
      <w:pPr>
        <w:pStyle w:val="Compact"/>
        <w:pStyle w:val="Definition"/>
      </w:pPr>
      <w:r>
        <w:t xml:space="preserve">results from the fixation of a series of musical, spoken or other sounds. The author of a sound recording is the performer(s) whose performance is fixed, or the record producer who processes the sounds and fixes them in the final recording, or both.</w:t>
      </w:r>
    </w:p>
    <w:p>
      <w:r>
        <w:t xml:space="preserve">Copyright in a sound recording is not the same as, or a substitute for, copyright in the underlying musical composition.</w:t>
      </w:r>
    </w:p>
    <w:p>
      <w:pPr>
        <w:pStyle w:val="Heading3"/>
      </w:pPr>
      <w:bookmarkStart w:id="67" w:name="newton-v.-diamond"/>
      <w:bookmarkEnd w:id="67"/>
      <w:r>
        <w:t xml:space="preserve">Newton v. Diamond</w:t>
      </w:r>
    </w:p>
    <w:p>
      <w:pPr>
        <w:pStyle w:val="Heading6"/>
      </w:pPr>
      <w:bookmarkStart w:id="68" w:name="united-states-court-of-appeals-ninth-circuit-2003"/>
      <w:bookmarkEnd w:id="68"/>
      <w:r>
        <w:t xml:space="preserve">United States Court of Appeals Ninth Circuit (2003)</w:t>
      </w:r>
    </w:p>
    <w:p>
      <w:pPr>
        <w:pStyle w:val="Compact"/>
        <w:numPr>
          <w:numId w:val="1010"/>
          <w:ilvl w:val="0"/>
        </w:numPr>
      </w:pPr>
      <w:hyperlink r:id="rId69">
        <w:r>
          <w:rPr>
            <w:rStyle w:val="Link"/>
          </w:rPr>
          <w:t xml:space="preserve">case on Google Scholar</w:t>
        </w:r>
      </w:hyperlink>
    </w:p>
    <w:p>
      <w:r>
        <w:t xml:space="preserve">Opinion by Chief Judge SCHROEDER. Dissent by Judge GRABER.</w:t>
      </w:r>
    </w:p>
    <w:p>
      <w:r>
        <w:t xml:space="preserve">SCHROEDER, Chief Judge:</w:t>
      </w:r>
    </w:p>
    <w:p>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0" w:name="background-and-procedural-history"/>
      <w:bookmarkEnd w:id="70"/>
      <w:r>
        <w:t xml:space="preserve">Background and Procedural History</w:t>
      </w:r>
    </w:p>
    <w:p>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1">
        <w:r>
          <w:rPr>
            <w:rStyle w:val="Link"/>
          </w:rPr>
          <w:t xml:space="preserve">17 U.S.C. § 102(a)(2), (7)</w:t>
        </w:r>
      </w:hyperlink>
      <w:r>
        <w:t xml:space="preserve">.</w:t>
      </w:r>
    </w:p>
    <w:p>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2" w:name="whether-defendants-use-was-de-minimis"/>
      <w:bookmarkEnd w:id="72"/>
      <w:r>
        <w:t xml:space="preserve">Whether Defendants' Use was De Minimis</w:t>
      </w:r>
    </w:p>
    <w:p>
      <w:r>
        <w:t xml:space="preserve">Assuming that the sampled segment of the composition was sufficiently original to merit copyright protection, we nevertheless affirm on the ground that Beastie Boys' use was de minimis and therefore not actionable.</w:t>
      </w:r>
    </w:p>
    <w:p>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 "Even where there is some copying, that fact is not conclusive of infringement. Some copying is permitted. In addition to copying, it must be shown that this has been done to an unfair extent."</w:t>
      </w:r>
      <w:r>
        <w:t xml:space="preserve"> </w:t>
      </w:r>
      <w:hyperlink r:id="rId73">
        <w:r>
          <w:rPr>
            <w:i/>
            <w:rStyle w:val="Link"/>
          </w:rPr>
          <w:t xml:space="preserve">West Publ'g Co. v. Edward Thompson Co.,</w:t>
        </w:r>
        <w:r>
          <w:rPr>
            <w:rStyle w:val="Link"/>
          </w:rPr>
          <w:t xml:space="preserve"> </w:t>
        </w:r>
        <w:r>
          <w:rPr>
            <w:rStyle w:val="Link"/>
          </w:rPr>
          <w:t xml:space="preserve">(E.D.N.Y.1909)</w:t>
        </w:r>
      </w:hyperlink>
      <w:r>
        <w:t xml:space="preserve">. This principle reflects the legal maxim,</w:t>
      </w:r>
      <w:r>
        <w:t xml:space="preserve"> </w:t>
      </w:r>
      <w:r>
        <w:rPr>
          <w:i/>
        </w:rPr>
        <w:t xml:space="preserve">de minimis non curat lex</w:t>
      </w:r>
      <w:r>
        <w:t xml:space="preserve"> </w:t>
      </w:r>
      <w:r>
        <w:t xml:space="preserve">(often rendered as, "the law does not concern itself with trifles").</w:t>
      </w:r>
    </w:p>
    <w:p>
      <w:r>
        <w:t xml:space="preserve">The leading case on de minimis infringement in our circuit is</w:t>
      </w:r>
      <w:r>
        <w:t xml:space="preserve"> </w:t>
      </w:r>
      <w:hyperlink r:id="rId74">
        <w:r>
          <w:rPr>
            <w:i/>
            <w:rStyle w:val="Link"/>
          </w:rPr>
          <w:t xml:space="preserve">Fisher v. Dees,</w:t>
        </w:r>
        <w:r>
          <w:rPr>
            <w:rStyle w:val="Link"/>
          </w:rPr>
          <w:t xml:space="preserve"> </w:t>
        </w:r>
        <w:r>
          <w:rPr>
            <w:rStyle w:val="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r>
        <w:t xml:space="preserve">* * *</w:t>
      </w:r>
    </w:p>
    <w:p>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r>
        <w:t xml:space="preserve">Once we have isolated the basis of Newton's infringement action — the "Choir" composition, devoid of the unique performance elements found only in the sound recording —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5">
        <w:r>
          <w:rPr>
            <w:i/>
            <w:rStyle w:val="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6" w:name="conclusion-1"/>
      <w:bookmarkEnd w:id="76"/>
      <w:r>
        <w:t xml:space="preserve">Conclusion</w:t>
      </w:r>
    </w:p>
    <w:p>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r>
        <w:t xml:space="preserve">AFFIRMED.</w:t>
      </w:r>
    </w:p>
    <w:p>
      <w:r>
        <w:t xml:space="preserve">GRABER, Circuit Judge, dissenting:</w:t>
      </w:r>
    </w:p>
    <w:p>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r>
        <w:t xml:space="preserve">As the majority observes, a use is de minimis only if an average audience would not recognize the appropriation.</w:t>
      </w:r>
      <w:r>
        <w:t xml:space="preserve"> </w:t>
      </w:r>
      <w:hyperlink r:id="rId74">
        <w:r>
          <w:rPr>
            <w:i/>
            <w:rStyle w:val="Link"/>
          </w:rPr>
          <w:t xml:space="preserve">Fisher v. Dees,</w:t>
        </w:r>
        <w:r>
          <w:rPr>
            <w:rStyle w:val="Link"/>
          </w:rPr>
          <w:t xml:space="preserve"> </w:t>
        </w:r>
        <w:r>
          <w:rPr>
            <w:rStyle w:val="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r>
        <w:t xml:space="preserve">[Judge Graber quotes from letters sent by two professors attesting to the distinctiveness of the musical composition, and not just the sampled recording of Newton's performance.]</w:t>
      </w:r>
    </w:p>
    <w:p>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3"/>
      </w:pPr>
      <w:bookmarkStart w:id="77" w:name="bridgeport-music-inc.-v.-dimension-films"/>
      <w:bookmarkEnd w:id="77"/>
      <w:r>
        <w:t xml:space="preserve">Bridgeport Music, Inc. v. Dimension Films</w:t>
      </w:r>
    </w:p>
    <w:p>
      <w:pPr>
        <w:pStyle w:val="Heading6"/>
      </w:pPr>
      <w:bookmarkStart w:id="78" w:name="united-states-court-of-appeals-sixth-circuit."/>
      <w:bookmarkEnd w:id="78"/>
      <w:r>
        <w:t xml:space="preserve">United States Court of Appeals, Sixth Circuit.</w:t>
      </w:r>
    </w:p>
    <w:p>
      <w:pPr>
        <w:pStyle w:val="Compact"/>
        <w:numPr>
          <w:numId w:val="1011"/>
          <w:ilvl w:val="0"/>
        </w:numPr>
      </w:pPr>
      <w:hyperlink r:id="rId79">
        <w:r>
          <w:rPr>
            <w:rStyle w:val="Link"/>
          </w:rPr>
          <w:t xml:space="preserve">case on Google Scholar</w:t>
        </w:r>
      </w:hyperlink>
    </w:p>
    <w:p>
      <w:pPr>
        <w:pStyle w:val="Compact"/>
        <w:numPr>
          <w:numId w:val="1011"/>
          <w:ilvl w:val="0"/>
        </w:numPr>
      </w:pPr>
      <w:hyperlink r:id="rId80">
        <w:r>
          <w:rPr>
            <w:rStyle w:val="Link"/>
          </w:rPr>
          <w:t xml:space="preserve">case on Wikipedia</w:t>
        </w:r>
      </w:hyperlink>
    </w:p>
    <w:p>
      <w:pPr>
        <w:pStyle w:val="Heading4"/>
      </w:pPr>
      <w:bookmarkStart w:id="81" w:name="amended-opinion-on-rehearing"/>
      <w:bookmarkEnd w:id="81"/>
      <w:r>
        <w:t xml:space="preserve">AMENDED OPINION ON REHEARING</w:t>
      </w:r>
    </w:p>
    <w:p>
      <w:r>
        <w:t xml:space="preserve">RALPH B. GUY, JR., Circuit Judge.</w:t>
      </w:r>
    </w:p>
    <w:p>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r>
        <w:t xml:space="preserve">Defendant No Limit Films, in conjunction with Priority Records, released the movie to theaters on May 27, 1998. The movie was apparently also released on VHS, DVD, and cable television.…</w:t>
      </w:r>
    </w:p>
    <w:p>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Quote"/>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hyperlink r:id="rId82">
        <w:r>
          <w:rPr>
            <w:i/>
            <w:rStyle w:val="Link"/>
          </w:rPr>
          <w:t xml:space="preserve">Bridgeport,</w:t>
        </w:r>
        <w:r>
          <w:rPr>
            <w:rStyle w:val="Link"/>
          </w:rPr>
          <w:t xml:space="preserve"> </w:t>
        </w:r>
        <w:r>
          <w:rPr>
            <w:rStyle w:val="Link"/>
          </w:rPr>
          <w:t xml:space="preserve">230 F.Supp.2d at 839</w:t>
        </w:r>
      </w:hyperlink>
      <w:r>
        <w:t xml:space="preserve">.…</w:t>
      </w:r>
    </w:p>
    <w:p>
      <w:pPr>
        <w:pStyle w:val="Heading4"/>
      </w:pPr>
      <w:bookmarkStart w:id="83" w:name="digital-sampling-of-copyrighted-sound-recordings"/>
      <w:bookmarkEnd w:id="83"/>
      <w:r>
        <w:t xml:space="preserve">Digital Sampling of Copyrighted Sound Recordings</w:t>
      </w:r>
    </w:p>
    <w:p>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4" w:name="analysis"/>
      <w:bookmarkEnd w:id="84"/>
      <w:r>
        <w:t xml:space="preserve">Analysis</w:t>
      </w:r>
    </w:p>
    <w:p>
      <w:r>
        <w:t xml:space="preserve">[ … ]</w:t>
      </w:r>
    </w:p>
    <w:p>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5" w:name="future-of-sampling"/>
      <w:bookmarkEnd w:id="85"/>
      <w:r>
        <w:t xml:space="preserve">Future of Sampling</w:t>
      </w:r>
    </w:p>
    <w:p>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6" w:name="good-copy-bad-copy"/>
      <w:bookmarkEnd w:id="86"/>
      <w:r>
        <w:t xml:space="preserve">Good Copy Bad Copy</w:t>
      </w:r>
    </w:p>
    <w:p>
      <w:r>
        <w:t xml:space="preserve">Please watch the first 14 minutes of</w:t>
      </w:r>
      <w:r>
        <w:t xml:space="preserve"> </w:t>
      </w:r>
      <w:hyperlink r:id="rId87">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88">
        <w:r>
          <w:rPr>
            <w:rStyle w:val="Link"/>
          </w:rPr>
          <w:t xml:space="preserve">Why Hasn't The Recording Industry Sued Girl Talk?</w:t>
        </w:r>
      </w:hyperlink>
    </w:p>
    <w:p>
      <w:pPr>
        <w:pStyle w:val="Compact"/>
        <w:numPr>
          <w:numId w:val="1013"/>
          <w:ilvl w:val="0"/>
        </w:numPr>
      </w:pPr>
      <w:r>
        <w:t xml:space="preserve">[Why The Music Industry Isn’t Suing Mashup Star ‘Girl Talk’] (https://gigaom.com/2010/11/16/419-why-the-music-industry-isnt-suing-mashup-star-girl-talk/)</w:t>
      </w:r>
    </w:p>
    <w:p>
      <w:pPr>
        <w:pStyle w:val="Heading4"/>
      </w:pPr>
      <w:bookmarkStart w:id="89" w:name="totally-optional-reading-viewing"/>
      <w:bookmarkEnd w:id="89"/>
      <w:r>
        <w:t xml:space="preserve">Totally Optional Reading &amp; Viewing</w:t>
      </w:r>
    </w:p>
    <w:p>
      <w:pPr>
        <w:pStyle w:val="Compact"/>
        <w:numPr>
          <w:numId w:val="1014"/>
          <w:ilvl w:val="0"/>
        </w:numPr>
      </w:pPr>
      <w:hyperlink r:id="rId87">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4"/>
          <w:ilvl w:val="0"/>
        </w:numPr>
      </w:pPr>
      <w:hyperlink r:id="rId90">
        <w:r>
          <w:rPr>
            <w:i/>
            <w:rStyle w:val="Link"/>
          </w:rPr>
          <w:t xml:space="preserve">Copyright Criminals</w:t>
        </w:r>
      </w:hyperlink>
      <w:r>
        <w:t xml:space="preserve">, a documentary that examines the creative and commercial value of sampling in music. Featuring Public Enemy, De La Soul, QBert and more.</w:t>
      </w:r>
    </w:p>
    <w:p>
      <w:pPr>
        <w:pStyle w:val="Compact"/>
        <w:numPr>
          <w:numId w:val="1014"/>
          <w:ilvl w:val="0"/>
        </w:numPr>
      </w:pPr>
      <w:hyperlink r:id="rId91">
        <w:r>
          <w:rPr>
            <w:rStyle w:val="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14"/>
          <w:ilvl w:val="0"/>
        </w:numPr>
      </w:pPr>
      <w:hyperlink r:id="rId92">
        <w:r>
          <w:rPr>
            <w:rStyle w:val="Link"/>
          </w:rPr>
          <w:t xml:space="preserve">More on Innocence of Muslims</w:t>
        </w:r>
      </w:hyperlink>
    </w:p>
    <w:p>
      <w:pPr>
        <w:pStyle w:val="Compact"/>
        <w:numPr>
          <w:numId w:val="1014"/>
          <w:ilvl w:val="0"/>
        </w:numPr>
      </w:pPr>
      <w:r>
        <w:t xml:space="preserve">Lawsuit alleges Jay Z hit 'Run This Town'</w:t>
      </w:r>
      <w:r>
        <w:t xml:space="preserve"> </w:t>
      </w:r>
      <w:hyperlink r:id="rId93">
        <w:r>
          <w:rPr>
            <w:rStyle w:val="Link"/>
          </w:rPr>
          <w:t xml:space="preserve">illegally sampled 1960s funk song</w:t>
        </w:r>
      </w:hyperlink>
    </w:p>
    <w:p>
      <w:pPr>
        <w:pStyle w:val="Compact"/>
        <w:numPr>
          <w:numId w:val="1014"/>
          <w:ilvl w:val="0"/>
        </w:numPr>
      </w:pPr>
      <w:hyperlink r:id="rId94">
        <w:r>
          <w:rPr>
            <w:rStyle w:val="Link"/>
          </w:rPr>
          <w:t xml:space="preserve">Frank Ocean's 'Super Rich Kids' Named in Copyright Lawsuit</w:t>
        </w:r>
      </w:hyperlink>
    </w:p>
    <w:p>
      <w:pPr>
        <w:pStyle w:val="Compact"/>
        <w:numPr>
          <w:numId w:val="1014"/>
          <w:ilvl w:val="0"/>
        </w:numPr>
      </w:pPr>
      <w:hyperlink r:id="rId95">
        <w:r>
          <w:rPr>
            <w:rStyle w:val="Link"/>
          </w:rPr>
          <w:t xml:space="preserve">Wikipedia Defends the Monkey Selfie</w:t>
        </w:r>
      </w:hyperlink>
    </w:p>
    <w:p>
      <w:pPr>
        <w:pStyle w:val="Heading5"/>
      </w:pPr>
      <w:bookmarkStart w:id="96" w:name="totally-optional-for-musicians-recording-artists"/>
      <w:bookmarkEnd w:id="96"/>
      <w:r>
        <w:t xml:space="preserve">Totally Optional: For Musicians &amp; Recording Artists</w:t>
      </w:r>
    </w:p>
    <w:p>
      <w:pPr>
        <w:pStyle w:val="Compact"/>
        <w:numPr>
          <w:numId w:val="1015"/>
          <w:ilvl w:val="0"/>
        </w:numPr>
      </w:pPr>
      <w:hyperlink r:id="rId97">
        <w:r>
          <w:rPr>
            <w:rStyle w:val="Link"/>
          </w:rPr>
          <w:t xml:space="preserve">Harvard Law School Recording Artists Project: Copyright Basics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b75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d806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996eb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80" Target="http://en.wikipedia.org/wiki/Bridgeport_Music,_Inc._v._Dimension_Films" TargetMode="External" /><Relationship Type="http://schemas.openxmlformats.org/officeDocument/2006/relationships/hyperlink" Id="rId43" Target="http://en.wikipedia.org/wiki/Community_for_Creative_Non-Violence_v._Reid" TargetMode="External" /><Relationship Type="http://schemas.openxmlformats.org/officeDocument/2006/relationships/hyperlink" Id="rId32" Target="http://en.wikipedia.org/wiki/Moms_Mabley" TargetMode="External" /><Relationship Type="http://schemas.openxmlformats.org/officeDocument/2006/relationships/hyperlink" Id="rId33" Target="http://en.wikipedia.org/wiki/Obie_Award" TargetMode="External" /><Relationship Type="http://schemas.openxmlformats.org/officeDocument/2006/relationships/hyperlink" Id="rId42" Target="http://lawschool.westlaw.com/shared/westlawRedirect.aspx?task=find&amp;cite=109+S.Ct.+2166&amp;appflag=67.12" TargetMode="External" /><Relationship Type="http://schemas.openxmlformats.org/officeDocument/2006/relationships/hyperlink" Id="rId48" Target="http://lawschool.westlaw.com/shared/westlawRedirect.aspx?task=find&amp;cite=845+F.2d+851&amp;appflag=67.12" TargetMode="External" /><Relationship Type="http://schemas.openxmlformats.org/officeDocument/2006/relationships/hyperlink" Id="rId30" Target="http://lawschool.westlaw.com/shared/westlawRedirect.aspx?task=find&amp;cite=945f2d500&amp;appflag=67.12" TargetMode="External" /><Relationship Type="http://schemas.openxmlformats.org/officeDocument/2006/relationships/hyperlink" Id="rId37" Target="http://lottfischer.com/general.php?category=Resources&amp;subhead=Articles&amp;headline=+When+does+an+Editor%E2%80%99s+input+create+a+Joint+Work+of+Authorshi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9" Target="http://scholar.google.com/scholar_case?about=1764013068463333018"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2"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7"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79" Target="http://scholar.google.com/scholar_case?case=2589269115679339204" TargetMode="External" /><Relationship Type="http://schemas.openxmlformats.org/officeDocument/2006/relationships/hyperlink" Id="rId41"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90" Target="http://vimeo.com/9958864" TargetMode="External" /><Relationship Type="http://schemas.openxmlformats.org/officeDocument/2006/relationships/hyperlink" Id="rId34"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1" Target="http://www.hollywoodreporter.com/thr-esq/google-warns-muslims-ruling-will-684425" TargetMode="External" /><Relationship Type="http://schemas.openxmlformats.org/officeDocument/2006/relationships/hyperlink" Id="rId97" Target="http://www.law.harvard.edu/academics/clinical/tlc/rap/rap-for-clients/copyright.html" TargetMode="External" /><Relationship Type="http://schemas.openxmlformats.org/officeDocument/2006/relationships/hyperlink" Id="rId95" Target="http://www.newyorker.com/news/daily-comment/monkey-see-monkey-click" TargetMode="External" /><Relationship Type="http://schemas.openxmlformats.org/officeDocument/2006/relationships/hyperlink" Id="rId92" Target="http://www.newyorker.com/online/blogs/elements/2014/03/a-controversial-youtube-video-haunts-free-speech-again.html" TargetMode="External" /><Relationship Type="http://schemas.openxmlformats.org/officeDocument/2006/relationships/hyperlink" Id="rId93" Target="http://www.nydailynews.com/entertainment/gossip/jay-z-hit-run-town-illegally-sampled-60s-song-suit-article-1.1509052#ixzz2jw9zmZfb" TargetMode="External" /><Relationship Type="http://schemas.openxmlformats.org/officeDocument/2006/relationships/hyperlink" Id="rId94" Target="http://www.rollingstone.com/music/news/frank-oceans-super-rich-kids-named-in-copyright-lawsuit-20140211#ixzz2t3iDZnRQ" TargetMode="External" /><Relationship Type="http://schemas.openxmlformats.org/officeDocument/2006/relationships/hyperlink" Id="rId64" Target="http://www.youtube.com/watch?v=1LnisuqGSsY" TargetMode="External" /><Relationship Type="http://schemas.openxmlformats.org/officeDocument/2006/relationships/hyperlink" Id="rId88" Target="https://www.techdirt.com/articles/20090707/0237205466.shtml" TargetMode="External" /></Relationships>
</file>

<file path=word/_rels/footnotes.xml.rels><?xml version="1.0" encoding="UTF-8"?>
<Relationships xmlns="http://schemas.openxmlformats.org/package/2006/relationships"><Relationship Type="http://schemas.openxmlformats.org/officeDocument/2006/relationships/hyperlink" Id="rId87"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80" Target="http://en.wikipedia.org/wiki/Bridgeport_Music,_Inc._v._Dimension_Films" TargetMode="External" /><Relationship Type="http://schemas.openxmlformats.org/officeDocument/2006/relationships/hyperlink" Id="rId43" Target="http://en.wikipedia.org/wiki/Community_for_Creative_Non-Violence_v._Reid" TargetMode="External" /><Relationship Type="http://schemas.openxmlformats.org/officeDocument/2006/relationships/hyperlink" Id="rId32" Target="http://en.wikipedia.org/wiki/Moms_Mabley" TargetMode="External" /><Relationship Type="http://schemas.openxmlformats.org/officeDocument/2006/relationships/hyperlink" Id="rId33" Target="http://en.wikipedia.org/wiki/Obie_Award" TargetMode="External" /><Relationship Type="http://schemas.openxmlformats.org/officeDocument/2006/relationships/hyperlink" Id="rId42" Target="http://lawschool.westlaw.com/shared/westlawRedirect.aspx?task=find&amp;cite=109+S.Ct.+2166&amp;appflag=67.12" TargetMode="External" /><Relationship Type="http://schemas.openxmlformats.org/officeDocument/2006/relationships/hyperlink" Id="rId48" Target="http://lawschool.westlaw.com/shared/westlawRedirect.aspx?task=find&amp;cite=845+F.2d+851&amp;appflag=67.12" TargetMode="External" /><Relationship Type="http://schemas.openxmlformats.org/officeDocument/2006/relationships/hyperlink" Id="rId30" Target="http://lawschool.westlaw.com/shared/westlawRedirect.aspx?task=find&amp;cite=945f2d500&amp;appflag=67.12" TargetMode="External" /><Relationship Type="http://schemas.openxmlformats.org/officeDocument/2006/relationships/hyperlink" Id="rId37" Target="http://lottfischer.com/general.php?category=Resources&amp;subhead=Articles&amp;headline=+When+does+an+Editor%E2%80%99s+input+create+a+Joint+Work+of+Authorshi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9" Target="http://scholar.google.com/scholar_case?about=1764013068463333018"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2"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7"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79" Target="http://scholar.google.com/scholar_case?case=2589269115679339204" TargetMode="External" /><Relationship Type="http://schemas.openxmlformats.org/officeDocument/2006/relationships/hyperlink" Id="rId41"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90" Target="http://vimeo.com/9958864" TargetMode="External" /><Relationship Type="http://schemas.openxmlformats.org/officeDocument/2006/relationships/hyperlink" Id="rId34"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1" Target="http://www.hollywoodreporter.com/thr-esq/google-warns-muslims-ruling-will-684425" TargetMode="External" /><Relationship Type="http://schemas.openxmlformats.org/officeDocument/2006/relationships/hyperlink" Id="rId97" Target="http://www.law.harvard.edu/academics/clinical/tlc/rap/rap-for-clients/copyright.html" TargetMode="External" /><Relationship Type="http://schemas.openxmlformats.org/officeDocument/2006/relationships/hyperlink" Id="rId95" Target="http://www.newyorker.com/news/daily-comment/monkey-see-monkey-click" TargetMode="External" /><Relationship Type="http://schemas.openxmlformats.org/officeDocument/2006/relationships/hyperlink" Id="rId92" Target="http://www.newyorker.com/online/blogs/elements/2014/03/a-controversial-youtube-video-haunts-free-speech-again.html" TargetMode="External" /><Relationship Type="http://schemas.openxmlformats.org/officeDocument/2006/relationships/hyperlink" Id="rId93" Target="http://www.nydailynews.com/entertainment/gossip/jay-z-hit-run-town-illegally-sampled-60s-song-suit-article-1.1509052#ixzz2jw9zmZfb" TargetMode="External" /><Relationship Type="http://schemas.openxmlformats.org/officeDocument/2006/relationships/hyperlink" Id="rId94" Target="http://www.rollingstone.com/music/news/frank-oceans-super-rich-kids-named-in-copyright-lawsuit-20140211#ixzz2t3iDZnRQ" TargetMode="External" /><Relationship Type="http://schemas.openxmlformats.org/officeDocument/2006/relationships/hyperlink" Id="rId64" Target="http://www.youtube.com/watch?v=1LnisuqGSsY" TargetMode="External" /><Relationship Type="http://schemas.openxmlformats.org/officeDocument/2006/relationships/hyperlink" Id="rId88" Target="https://www.techdirt.com/articles/20090707/0237205466.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