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defamation-per-se"/>
      <w:bookmarkEnd w:id="33"/>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4">
        <w:r>
          <w:rPr>
            <w:rStyle w:val="Link"/>
          </w:rPr>
          <w:t xml:space="preserve">moral turpitude</w:t>
        </w:r>
      </w:hyperlink>
      <w:r>
        <w:t xml:space="preserve">)</w:t>
      </w:r>
    </w:p>
    <w:p>
      <w:hyperlink r:id="rId35">
        <w:r>
          <w:rPr>
            <w:rStyle w:val="Link"/>
          </w:rPr>
          <w:t xml:space="preserve">Wikipedia: Defamation Per Se</w:t>
        </w:r>
      </w:hyperlink>
    </w:p>
    <w:p>
      <w:pPr>
        <w:pStyle w:val="Heading3"/>
      </w:pPr>
      <w:bookmarkStart w:id="36" w:name="defamation-meets-first-amendment"/>
      <w:bookmarkEnd w:id="36"/>
      <w:r>
        <w:t xml:space="preserve">Defamation Meets First Amendment</w:t>
      </w:r>
    </w:p>
    <w:p>
      <w:r>
        <w:t xml:space="preserve">Sometimes called the constitutionalization of defamation law,</w:t>
      </w:r>
      <w:r>
        <w:t xml:space="preserve"> </w:t>
      </w:r>
      <w:hyperlink r:id="rId37">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8" w:name="elements"/>
      <w:bookmarkEnd w:id="38"/>
      <w:r>
        <w:t xml:space="preserve">Elements</w:t>
      </w:r>
    </w:p>
    <w:p>
      <w:r>
        <w:t xml:space="preserve">First let's look at the rules for stating a claim for defamation as they existed before</w:t>
      </w:r>
      <w:r>
        <w:t xml:space="preserve"> </w:t>
      </w:r>
      <w:hyperlink r:id="rId37">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hyperlink r:id="rId39">
        <w:r>
          <w:rPr>
            <w:rStyle w:val="Link"/>
          </w:rPr>
          <w:t xml:space="preserve">Restatement 2nd of Torts §559</w:t>
        </w:r>
      </w:hyperlink>
      <w:r>
        <w:t xml:space="preserve">.</w:t>
      </w:r>
    </w:p>
    <w:p>
      <w:pPr>
        <w:pStyle w:val="Heading2"/>
      </w:pPr>
      <w:bookmarkStart w:id="40" w:name="new-york-times-v.-sullivan"/>
      <w:bookmarkEnd w:id="40"/>
      <w:r>
        <w:t xml:space="preserve">New York Times v. Sullivan</w:t>
      </w:r>
    </w:p>
    <w:p>
      <w:pPr>
        <w:pStyle w:val="Heading6"/>
      </w:pPr>
      <w:bookmarkStart w:id="41" w:name="us-supreme-court-1964"/>
      <w:bookmarkEnd w:id="41"/>
      <w:r>
        <w:t xml:space="preserve">US Supreme Court 1964</w:t>
      </w:r>
    </w:p>
    <w:p>
      <w:pPr>
        <w:pStyle w:val="Compact"/>
        <w:numPr>
          <w:numId w:val="1005"/>
          <w:ilvl w:val="0"/>
        </w:numPr>
      </w:pPr>
      <w:hyperlink r:id="rId42">
        <w:r>
          <w:rPr>
            <w:i/>
            <w:rStyle w:val="Link"/>
          </w:rPr>
          <w:t xml:space="preserve">New York Times Co. v. Sullivan</w:t>
        </w:r>
      </w:hyperlink>
      <w:r>
        <w:t xml:space="preserve">, 376 U.S. 254 (1964).</w:t>
      </w:r>
    </w:p>
    <w:p>
      <w:pPr>
        <w:pStyle w:val="Compact"/>
        <w:numPr>
          <w:numId w:val="1005"/>
          <w:ilvl w:val="0"/>
        </w:numPr>
      </w:pPr>
      <w:hyperlink r:id="rId43">
        <w:r>
          <w:rPr>
            <w:rStyle w:val="Link"/>
          </w:rPr>
          <w:t xml:space="preserve">Wikipedia</w:t>
        </w:r>
      </w:hyperlink>
      <w:r>
        <w:t xml:space="preserve">.</w:t>
      </w:r>
    </w:p>
    <w:p>
      <w:pPr>
        <w:pStyle w:val="Compact"/>
        <w:numPr>
          <w:numId w:val="1005"/>
          <w:ilvl w:val="0"/>
        </w:numPr>
      </w:pPr>
      <w:hyperlink r:id="rId44">
        <w:r>
          <w:rPr>
            <w:rStyle w:val="Link"/>
          </w:rPr>
          <w:t xml:space="preserve">NYTimes Editorial: The Uninhibited Press 50 Years Later</w:t>
        </w:r>
      </w:hyperlink>
      <w:r>
        <w:t xml:space="preserve">.</w:t>
      </w:r>
    </w:p>
    <w:p>
      <w:pPr>
        <w:pStyle w:val="Compact"/>
        <w:numPr>
          <w:numId w:val="1005"/>
          <w:ilvl w:val="0"/>
        </w:numPr>
      </w:pPr>
      <w:hyperlink r:id="rId45">
        <w:r>
          <w:rPr>
            <w:rStyle w:val="Link"/>
          </w:rPr>
          <w:t xml:space="preserve">Image of "Heed Their Rising Voices" ad</w:t>
        </w:r>
      </w:hyperlink>
      <w:r>
        <w:t xml:space="preserve">'</w:t>
      </w:r>
    </w:p>
    <w:p>
      <w:pPr>
        <w:pStyle w:val="Compact"/>
        <w:numPr>
          <w:numId w:val="1005"/>
          <w:ilvl w:val="0"/>
        </w:numPr>
      </w:pPr>
      <w:hyperlink r:id="rId46">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5">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mindconduct.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7" w:name="lawsuits-over-false-statements-of-fact"/>
      <w:bookmarkEnd w:id="47"/>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8">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hyperlink r:id="rId49">
        <w:r>
          <w:rPr>
            <w:rStyle w:val="Link"/>
          </w:rPr>
          <w:t xml:space="preserve">§ 580A Restatement 2nd of Torts: Defamation of Public Official or Public Figure</w:t>
        </w:r>
      </w:hyperlink>
    </w:p>
    <w:p>
      <w:pPr>
        <w:pStyle w:val="Heading4"/>
      </w:pPr>
      <w:bookmarkStart w:id="50" w:name="international-comparisons"/>
      <w:bookmarkEnd w:id="50"/>
      <w:r>
        <w:t xml:space="preserve">International Comparisons</w:t>
      </w:r>
    </w:p>
    <w:p>
      <w:r>
        <w:t xml:space="preserve">Should the law force the allegedly defamed plaintiff to prove that the communications were false? Or should we instead force the defendant media company to prove that the statements were true?</w:t>
      </w:r>
    </w:p>
    <w:p>
      <w:r>
        <w:t xml:space="preserve">The rule that somebody alleging defamation should have to prove untruth, rather than that the defendant should have to prove the truth of a statement, stood as a departure from the previous common law.</w:t>
      </w:r>
    </w:p>
    <w:p>
      <w:r>
        <w:t xml:space="preserve">In England, the development was specifically rejected in</w:t>
      </w:r>
      <w:r>
        <w:t xml:space="preserve"> </w:t>
      </w:r>
      <w:hyperlink r:id="rId51">
        <w:r>
          <w:rPr>
            <w:i/>
            <w:rStyle w:val="Link"/>
          </w:rPr>
          <w:t xml:space="preserve">Derbyshire County Council v. Times Newspapers Ltd</w:t>
        </w:r>
      </w:hyperlink>
      <w:r>
        <w:t xml:space="preserve"> </w:t>
      </w:r>
      <w:r>
        <w:t xml:space="preserve">(1993), and it was also rejected in Canada in</w:t>
      </w:r>
      <w:r>
        <w:t xml:space="preserve"> </w:t>
      </w:r>
      <w:hyperlink r:id="rId52">
        <w:r>
          <w:rPr>
            <w:i/>
            <w:rStyle w:val="Link"/>
          </w:rPr>
          <w:t xml:space="preserve">Hill v. Church of Scientology of Toronto</w:t>
        </w:r>
      </w:hyperlink>
      <w:r>
        <w:t xml:space="preserve"> </w:t>
      </w:r>
      <w:r>
        <w:t xml:space="preserve">(1995), and more recently in</w:t>
      </w:r>
      <w:r>
        <w:t xml:space="preserve"> </w:t>
      </w:r>
      <w:hyperlink r:id="rId53">
        <w:r>
          <w:rPr>
            <w:i/>
            <w:rStyle w:val="Link"/>
          </w:rPr>
          <w:t xml:space="preserve">Grant v. Torstar Corp.</w:t>
        </w:r>
      </w:hyperlink>
      <w:r>
        <w:t xml:space="preserve"> </w:t>
      </w:r>
      <w:r>
        <w:t xml:space="preserve">(2009).</w:t>
      </w:r>
    </w:p>
    <w:p>
      <w:r>
        <w:t xml:space="preserve">In Australia, the High Court held in</w:t>
      </w:r>
      <w:r>
        <w:t xml:space="preserve"> </w:t>
      </w:r>
      <w:hyperlink r:id="rId54">
        <w:r>
          <w:rPr>
            <w:i/>
            <w:rStyle w:val="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5">
        <w:r>
          <w:rPr>
            <w:i/>
            <w:rStyle w:val="Link"/>
          </w:rPr>
          <w:t xml:space="preserve">Lange v Australian Broadcasting Corporation</w:t>
        </w:r>
      </w:hyperlink>
      <w:r>
        <w:t xml:space="preserve"> </w:t>
      </w:r>
      <w:r>
        <w:t xml:space="preserve">(1997).</w:t>
      </w:r>
    </w:p>
    <w:p>
      <w:r>
        <w:t xml:space="preserve">Now let's look at some entertainment industry cases where public officials and figures alleged defamation.</w:t>
      </w:r>
    </w:p>
    <w:p>
      <w:pPr>
        <w:pStyle w:val="Heading2"/>
      </w:pPr>
      <w:bookmarkStart w:id="56" w:name="davis-v.-constantin-costa-gavras"/>
      <w:bookmarkEnd w:id="56"/>
      <w:r>
        <w:t xml:space="preserve">Davis v. Constantin Costa-Gavras,</w:t>
      </w:r>
    </w:p>
    <w:p>
      <w:pPr>
        <w:pStyle w:val="Heading6"/>
      </w:pPr>
      <w:bookmarkStart w:id="57" w:name="us-district-court-s.d.-new-york-1987"/>
      <w:bookmarkEnd w:id="57"/>
      <w:r>
        <w:t xml:space="preserve">US District Court, S.D. New York (1987)</w:t>
      </w:r>
    </w:p>
    <w:p>
      <w:pPr>
        <w:pStyle w:val="Compact"/>
        <w:numPr>
          <w:numId w:val="1008"/>
          <w:ilvl w:val="0"/>
        </w:numPr>
      </w:pPr>
      <w:hyperlink r:id="rId58">
        <w:r>
          <w:rPr>
            <w:rStyle w:val="Link"/>
          </w:rPr>
          <w:t xml:space="preserve">case at Google Scholar</w:t>
        </w:r>
      </w:hyperlink>
    </w:p>
    <w:p>
      <w:pPr>
        <w:pStyle w:val="Compact"/>
        <w:numPr>
          <w:numId w:val="1008"/>
          <w:ilvl w:val="0"/>
        </w:numPr>
      </w:pPr>
      <w:hyperlink r:id="rId59">
        <w:r>
          <w:rPr>
            <w:rStyle w:val="Link"/>
          </w:rPr>
          <w:t xml:space="preserve">case at Westlaw</w:t>
        </w:r>
      </w:hyperlink>
    </w:p>
    <w:p>
      <w:pPr>
        <w:pStyle w:val="Compact"/>
        <w:numPr>
          <w:numId w:val="1008"/>
          <w:ilvl w:val="0"/>
        </w:numPr>
      </w:pPr>
      <w:hyperlink r:id="rId6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7">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61">
        <w:r>
          <w:rPr>
            <w:i/>
            <w:rStyle w:val="Link"/>
          </w:rPr>
          <w:t xml:space="preserve">St. Amant v. Thompson,</w:t>
        </w:r>
        <w:r>
          <w:rPr>
            <w:rStyle w:val="Link"/>
          </w:rPr>
          <w:t xml:space="preserve"> </w:t>
        </w:r>
        <w:r>
          <w:rPr>
            <w:rStyle w:val="Link"/>
          </w:rPr>
          <w:t xml:space="preserve">(S.Ct. 1968)</w:t>
        </w:r>
      </w:hyperlink>
    </w:p>
    <w:p>
      <w:pPr>
        <w:pStyle w:val="Heading3"/>
      </w:pPr>
      <w:bookmarkStart w:id="62" w:name="designated-evidence-offered-by-plaintiff"/>
      <w:bookmarkEnd w:id="6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3" w:name="a.-the-thesis-of-the-film"/>
      <w:bookmarkEnd w:id="6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64" w:name="b.-defendants-reliance-on-hausers-book"/>
      <w:bookmarkEnd w:id="6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65">
        <w:r>
          <w:rPr>
            <w:i/>
            <w:rStyle w:val="Link"/>
          </w:rPr>
          <w:t xml:space="preserve">Gertz v. Robert Welch</w:t>
        </w:r>
        <w:r>
          <w:rPr>
            <w:rStyle w:val="Link"/>
          </w:rPr>
          <w:t xml:space="preserve"> </w:t>
        </w:r>
        <w:r>
          <w:rPr>
            <w:rStyle w:val="Link"/>
          </w:rPr>
          <w:t xml:space="preserve">(S.Ct. 1974)</w:t>
        </w:r>
      </w:hyperlink>
      <w:r>
        <w:t xml:space="preserve">,</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66">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6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7" w:name="c.-failure-to-consult-plaintiff-prior-to-making-film"/>
      <w:bookmarkEnd w:id="67"/>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7">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69">
        <w:r>
          <w:rPr>
            <w:i/>
            <w:rStyle w:val="Link"/>
          </w:rPr>
          <w:t xml:space="preserve">New York Times v. Connor</w:t>
        </w:r>
        <w:r>
          <w:rPr>
            <w:rStyle w:val="Link"/>
          </w:rPr>
          <w:t xml:space="preserve"> </w:t>
        </w:r>
        <w:r>
          <w:rPr>
            <w:rStyle w:val="Link"/>
          </w:rPr>
          <w:t xml:space="preserve">(5th Cir.1966)</w:t>
        </w:r>
      </w:hyperlink>
      <w:r>
        <w:t xml:space="preserve">.</w:t>
      </w:r>
    </w:p>
    <w:p>
      <w:r>
        <w:t xml:space="preserve">Plaintiff has not designated specific facts suggesting an awareness or even suspicion by defendants of probable falsity of their source material.</w:t>
      </w:r>
    </w:p>
    <w:p>
      <w:pPr>
        <w:pStyle w:val="Heading4"/>
      </w:pPr>
      <w:bookmarkStart w:id="70" w:name="d.-scenes-in-missing-as-evidence-of-actual-malice"/>
      <w:bookmarkEnd w:id="70"/>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71">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7">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hyperlink r:id="rId72">
        <w:r>
          <w:rPr>
            <w:i/>
            <w:rStyle w:val="Link"/>
          </w:rPr>
          <w:t xml:space="preserve">Hotchner v. Castillo-Puche</w:t>
        </w:r>
        <w:r>
          <w:rPr>
            <w:rStyle w:val="Link"/>
          </w:rPr>
          <w:t xml:space="preserve"> </w:t>
        </w:r>
        <w:r>
          <w:rPr>
            <w:rStyle w:val="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72">
        <w:r>
          <w:rPr>
            <w:i/>
            <w:rStyle w:val="Link"/>
          </w:rPr>
          <w:t xml:space="preserve">Hotchner,</w:t>
        </w:r>
        <w:r>
          <w:rPr>
            <w:rStyle w:val="Link"/>
          </w:rPr>
          <w:t xml:space="preserve"> </w:t>
        </w:r>
        <w:r>
          <w:rPr>
            <w:rStyle w:val="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73" w:name="conclusion"/>
      <w:bookmarkEnd w:id="73"/>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74" w:name="appendix"/>
      <w:bookmarkEnd w:id="74"/>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75" w:name="initial-embassy-scene"/>
      <w:bookmarkEnd w:id="75"/>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76" w:name="the-hotel-meeting"/>
      <w:bookmarkEnd w:id="76"/>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77" w:name="the-stadium"/>
      <w:bookmarkEnd w:id="77"/>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78" w:name="the-final-embassy-meeting"/>
      <w:bookmarkEnd w:id="78"/>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9" w:name="the-airport-scene"/>
      <w:bookmarkEnd w:id="79"/>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80" w:name="the-bathroom-scene"/>
      <w:bookmarkEnd w:id="80"/>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81" w:name="the-meeting-with-paris"/>
      <w:bookmarkEnd w:id="81"/>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82" w:name="the-mafia-speech"/>
      <w:bookmarkEnd w:id="82"/>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83" w:name="the-telephone-repair-scene"/>
      <w:bookmarkEnd w:id="83"/>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84" w:name="matthews-v.-wozencraft"/>
      <w:bookmarkEnd w:id="84"/>
      <w:r>
        <w:t xml:space="preserve">Matthews v. Wozencraft</w:t>
      </w:r>
    </w:p>
    <w:p>
      <w:pPr>
        <w:pStyle w:val="Heading6"/>
      </w:pPr>
      <w:bookmarkStart w:id="85" w:name="th-cir.-1994"/>
      <w:bookmarkEnd w:id="85"/>
      <w:r>
        <w:t xml:space="preserve">(5th Cir. 1994)</w:t>
      </w:r>
    </w:p>
    <w:p>
      <w:pPr>
        <w:pStyle w:val="Compact"/>
        <w:numPr>
          <w:numId w:val="1010"/>
          <w:ilvl w:val="0"/>
        </w:numPr>
      </w:pPr>
      <w:hyperlink r:id="rId86">
        <w:r>
          <w:rPr>
            <w:rStyle w:val="Link"/>
          </w:rPr>
          <w:t xml:space="preserve">case on Google Scholar</w:t>
        </w:r>
      </w:hyperlink>
    </w:p>
    <w:p>
      <w:pPr>
        <w:pStyle w:val="Compact"/>
        <w:numPr>
          <w:numId w:val="1010"/>
          <w:ilvl w:val="0"/>
        </w:numPr>
      </w:pPr>
      <w:hyperlink r:id="rId87">
        <w:r>
          <w:rPr>
            <w:rStyle w:val="Link"/>
          </w:rPr>
          <w:t xml:space="preserve">how cited Google Scholar</w:t>
        </w:r>
      </w:hyperlink>
    </w:p>
    <w:p>
      <w:pPr>
        <w:pStyle w:val="Compact"/>
        <w:numPr>
          <w:numId w:val="1010"/>
          <w:ilvl w:val="0"/>
        </w:numPr>
      </w:pPr>
      <w:hyperlink r:id="rId88">
        <w:r>
          <w:rPr>
            <w:rStyle w:val="Link"/>
          </w:rPr>
          <w:t xml:space="preserve">case on Westlaw</w:t>
        </w:r>
      </w:hyperlink>
    </w:p>
    <w:p>
      <w:pPr>
        <w:pStyle w:val="Compact"/>
        <w:numPr>
          <w:numId w:val="1010"/>
          <w:ilvl w:val="0"/>
        </w:numPr>
      </w:pPr>
      <w:hyperlink r:id="rId89">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90" w:name="the-prison-agreement"/>
      <w:bookmarkEnd w:id="90"/>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91" w:name="based-upon"/>
      <w:bookmarkEnd w:id="91"/>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92" w:name="appropriation-of-life-story"/>
      <w:bookmarkEnd w:id="92"/>
      <w:r>
        <w:t xml:space="preserve">Appropriation of Life Story?</w:t>
      </w:r>
    </w:p>
    <w:p>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r>
        <w:t xml:space="preserve">"One who appropriates to his own use or benefit the name or likeness of another is subject to liability to the other for invasion of his privacy." RESTATEMENT (SECOND) OF TORTS (the "RESTATEMENT") § 652C (1977).</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w:t>
      </w:r>
    </w:p>
    <w:p>
      <w:r>
        <w:rPr>
          <w:i/>
        </w:rPr>
        <w:t xml:space="preserve">See</w:t>
      </w:r>
      <w:r>
        <w:t xml:space="preserve"> </w:t>
      </w:r>
      <w:hyperlink r:id="rId93">
        <w:r>
          <w:rPr>
            <w:i/>
            <w:rStyle w:val="Link"/>
          </w:rPr>
          <w:t xml:space="preserve">Faloona v. Hustler Magazine</w:t>
        </w:r>
        <w:r>
          <w:rPr>
            <w:rStyle w:val="Link"/>
          </w:rPr>
          <w:t xml:space="preserve"> </w:t>
        </w:r>
        <w:r>
          <w:rPr>
            <w:rStyle w:val="Link"/>
          </w:rPr>
          <w:t xml:space="preserve">(5th Cir. 1986)</w:t>
        </w:r>
      </w:hyperlink>
      <w:r>
        <w:t xml:space="preserve">.</w:t>
      </w:r>
    </w:p>
    <w:p>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Tortious liability for appropriation of a name or likeness is intended to protect the value of an individual's notoriety or skill. Thus, the RESTATEMENT provides for liability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RESTATEMENT § 652C, comment c.</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94">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95" w:name="iii."/>
      <w:bookmarkEnd w:id="95"/>
      <w:r>
        <w:t xml:space="preserve">III.</w:t>
      </w:r>
    </w:p>
    <w:p>
      <w:pPr>
        <w:pStyle w:val="Heading4"/>
      </w:pPr>
      <w:bookmarkStart w:id="96" w:name="a."/>
      <w:bookmarkEnd w:id="96"/>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97">
        <w:r>
          <w:rPr>
            <w:i/>
            <w:rStyle w:val="Link"/>
          </w:rPr>
          <w:t xml:space="preserve">Rogers v. Grimaldi</w:t>
        </w:r>
        <w:r>
          <w:rPr>
            <w:rStyle w:val="Link"/>
          </w:rPr>
          <w:t xml:space="preserve"> </w:t>
        </w:r>
        <w:r>
          <w:rPr>
            <w:rStyle w:val="Link"/>
          </w:rPr>
          <w:t xml:space="preserve">(SDNY 1988),</w:t>
        </w:r>
      </w:hyperlink>
      <w:r>
        <w:t xml:space="preserve"> </w:t>
      </w:r>
      <w:r>
        <w:rPr>
          <w:i/>
        </w:rPr>
        <w:t xml:space="preserve">aff'd,</w:t>
      </w:r>
      <w:r>
        <w:t xml:space="preserve"> </w:t>
      </w:r>
      <w:hyperlink r:id="rId98">
        <w:r>
          <w:rPr>
            <w:rStyle w:val="Link"/>
          </w:rPr>
          <w:t xml:space="preserve">875 F.2d 994 (2d Cir.1989)</w:t>
        </w:r>
      </w:hyperlink>
      <w:r>
        <w:t xml:space="preserve">).</w:t>
      </w:r>
    </w:p>
    <w:p>
      <w:pPr>
        <w:pStyle w:val="Heading4"/>
      </w:pPr>
      <w:bookmarkStart w:id="99" w:name="b."/>
      <w:bookmarkEnd w:id="99"/>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100" w:name="c."/>
      <w:bookmarkEnd w:id="100"/>
      <w:r>
        <w:t xml:space="preserve">C.</w:t>
      </w:r>
    </w:p>
    <w:p>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101" w:name="section"/>
      <w:bookmarkEnd w:id="101"/>
      <w:r>
        <w:t xml:space="preserve">1.</w:t>
      </w:r>
    </w:p>
    <w:p>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102">
        <w:r>
          <w:rPr>
            <w:i/>
            <w:rStyle w:val="Link"/>
          </w:rPr>
          <w:t xml:space="preserve">Meeropol v. Nizer</w:t>
        </w:r>
        <w:r>
          <w:rPr>
            <w:rStyle w:val="Link"/>
          </w:rPr>
          <w:t xml:space="preserve"> </w:t>
        </w:r>
        <w:r>
          <w:rPr>
            <w:rStyle w:val="Link"/>
          </w:rPr>
          <w:t xml:space="preserve">(2d Cir.1977),</w:t>
        </w:r>
      </w:hyperlink>
      <w:r>
        <w:t xml:space="preserve"> </w:t>
      </w:r>
      <w:r>
        <w:t xml:space="preserve">so long as it is not "simply a disguised commercial advertisement for the sale of goods or services."</w:t>
      </w:r>
      <w:r>
        <w:t xml:space="preserve"> </w:t>
      </w:r>
      <w:hyperlink r:id="rId103">
        <w:r>
          <w:rPr>
            <w:i/>
            <w:rStyle w:val="Link"/>
          </w:rPr>
          <w:t xml:space="preserve">Rogers v. Grimaldi</w:t>
        </w:r>
        <w:r>
          <w:rPr>
            <w:rStyle w:val="Link"/>
          </w:rPr>
          <w:t xml:space="preserve"> </w:t>
        </w:r>
        <w:r>
          <w:rPr>
            <w:rStyle w:val="Link"/>
          </w:rPr>
          <w:t xml:space="preserve">(2d Cir. 1989)</w:t>
        </w:r>
      </w:hyperlink>
      <w:r>
        <w:t xml:space="preserve">.</w:t>
      </w:r>
    </w:p>
    <w:p>
      <w:r>
        <w:t xml:space="preserve">The book and its accompanying publicity have converted Matthews into a public figure under</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r>
        <w:t xml:space="preserve"> </w:t>
      </w:r>
      <w:hyperlink r:id="rId104">
        <w:r>
          <w:rPr>
            <w:i/>
            <w:rStyle w:val="Link"/>
          </w:rPr>
          <w:t xml:space="preserve">Meeropol</w:t>
        </w:r>
      </w:hyperlink>
      <w:r>
        <w:t xml:space="preserve">.</w:t>
      </w:r>
    </w:p>
    <w:p>
      <w:r>
        <w:t xml:space="preserve">Accordingly, absent a showing of malice, i.e., a "reckless disregard for the truth," RUSH is protected by the First Amendment.</w:t>
      </w:r>
      <w:r>
        <w:t xml:space="preserve"> </w:t>
      </w:r>
      <w:r>
        <w:rPr>
          <w:i/>
        </w:rPr>
        <w:t xml:space="preserve">See</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pPr>
        <w:pStyle w:val="Heading5"/>
      </w:pPr>
      <w:bookmarkStart w:id="106" w:name="section-1"/>
      <w:bookmarkEnd w:id="106"/>
      <w:r>
        <w:t xml:space="preserve">2.</w:t>
      </w:r>
    </w:p>
    <w:p>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107">
        <w:r>
          <w:rPr>
            <w:i/>
            <w:rStyle w:val="Link"/>
          </w:rPr>
          <w:t xml:space="preserve">Douglass v. Hustler Magazine</w:t>
        </w:r>
        <w:r>
          <w:rPr>
            <w:rStyle w:val="Link"/>
          </w:rPr>
          <w:t xml:space="preserve"> </w:t>
        </w:r>
        <w:r>
          <w:rPr>
            <w:rStyle w:val="Link"/>
          </w:rPr>
          <w:t xml:space="preserve">(7th Cir.1985),</w:t>
        </w:r>
      </w:hyperlink>
      <w:r>
        <w:t xml:space="preserve">.</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hyperlink r:id="rId108">
        <w:r>
          <w:rPr>
            <w:i/>
            <w:rStyle w:val="Link"/>
          </w:rPr>
          <w:t xml:space="preserve">Corabi v. Curtis Publishing Co.</w:t>
        </w:r>
        <w:r>
          <w:rPr>
            <w:rStyle w:val="Link"/>
          </w:rPr>
          <w:t xml:space="preserve"> </w:t>
        </w:r>
        <w:r>
          <w:rPr>
            <w:rStyle w:val="Link"/>
          </w:rPr>
          <w:t xml:space="preserve">(PA 1971)</w:t>
        </w:r>
      </w:hyperlink>
      <w:r>
        <w:t xml:space="preserve">.</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109">
        <w:r>
          <w:rPr>
            <w:i/>
            <w:rStyle w:val="Link"/>
          </w:rPr>
          <w:t xml:space="preserve">Trotter v. Jack Anderson Enters.</w:t>
        </w:r>
        <w:r>
          <w:rPr>
            <w:rStyle w:val="Link"/>
          </w:rPr>
          <w:t xml:space="preserve"> </w:t>
        </w:r>
        <w:r>
          <w:rPr>
            <w:rStyle w:val="Link"/>
          </w:rPr>
          <w:t xml:space="preserve">(5th Cir. 1987)</w:t>
        </w:r>
      </w:hyperlink>
      <w:r>
        <w:t xml:space="preserve">.</w:t>
      </w:r>
    </w:p>
    <w:p>
      <w:r>
        <w:t xml:space="preserve">Because all of the events were a part of the public domain, defendants were entitled to their fair use, including their narration in fictionalized form.</w:t>
      </w:r>
      <w:r>
        <w:t xml:space="preserve"> </w:t>
      </w:r>
      <w:hyperlink r:id="rId107">
        <w:r>
          <w:rPr>
            <w:i/>
            <w:rStyle w:val="Link"/>
          </w:rPr>
          <w:t xml:space="preserve">Douglass</w:t>
        </w:r>
      </w:hyperlink>
      <w:r>
        <w:t xml:space="preserve">.</w:t>
      </w:r>
    </w:p>
    <w:p>
      <w:r>
        <w:t xml:space="preserve">[The court's discussion of contract matters and division of marital property omitted.]</w:t>
      </w:r>
    </w:p>
    <w:p>
      <w:pPr>
        <w:pStyle w:val="Heading4"/>
      </w:pPr>
      <w:bookmarkStart w:id="110" w:name="vi."/>
      <w:bookmarkEnd w:id="110"/>
      <w:r>
        <w:t xml:space="preserve">VI.</w:t>
      </w:r>
    </w:p>
    <w:p>
      <w:r>
        <w:t xml:space="preserve">Matthews has created no genuine issue of material fact under Texas law. Thus, we AFFIRM the district court's grant of summary judgment on all claims.</w:t>
      </w:r>
    </w:p>
    <w:p>
      <w:pPr>
        <w:pStyle w:val="Heading5"/>
      </w:pPr>
      <w:bookmarkStart w:id="111" w:name="footnote"/>
      <w:bookmarkEnd w:id="111"/>
      <w:r>
        <w:t xml:space="preserve">footnote</w:t>
      </w:r>
    </w:p>
    <w:p>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Heading2"/>
      </w:pPr>
      <w:bookmarkStart w:id="112" w:name="privacy-rights"/>
      <w:bookmarkEnd w:id="112"/>
      <w:r>
        <w:t xml:space="preserve">Privacy Rights</w:t>
      </w:r>
    </w:p>
    <w:p>
      <w:pPr>
        <w:pStyle w:val="Heading3"/>
      </w:pPr>
      <w:bookmarkStart w:id="113" w:name="invasion-of-privacy"/>
      <w:bookmarkEnd w:id="113"/>
      <w:r>
        <w:t xml:space="preserve">Invasion of Privacy</w:t>
      </w:r>
    </w:p>
    <w:p>
      <w:r>
        <w:t xml:space="preserve">Privacy rights come in four different flavors, best described by Justice Louis Brandeis in a famous</w:t>
      </w:r>
      <w:r>
        <w:t xml:space="preserve"> </w:t>
      </w:r>
      <w:hyperlink r:id="rId114">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115">
        <w:r>
          <w:rPr>
            <w:rStyle w:val="Link"/>
          </w:rPr>
          <w:t xml:space="preserve">Wikipedia: Privacy Laws of the United States</w:t>
        </w:r>
      </w:hyperlink>
      <w:r>
        <w:br w:type="textWrapping"/>
      </w:r>
      <w:hyperlink r:id="rId116">
        <w:r>
          <w:rPr>
            <w:rStyle w:val="Link"/>
          </w:rPr>
          <w:t xml:space="preserve">Wikipedia: Privacy Laws By Country</w:t>
        </w:r>
      </w:hyperlink>
    </w:p>
    <w:p>
      <w:pPr>
        <w:pStyle w:val="Compact"/>
        <w:numPr>
          <w:numId w:val="1013"/>
          <w:ilvl w:val="0"/>
        </w:numPr>
      </w:pPr>
      <w:hyperlink r:id="rId117">
        <w:r>
          <w:rPr>
            <w:rStyle w:val="Link"/>
          </w:rPr>
          <w:t xml:space="preserve">If Only J-Law Could Retain Brandeis</w:t>
        </w:r>
      </w:hyperlink>
      <w:r>
        <w:t xml:space="preserve">.</w:t>
      </w:r>
    </w:p>
    <w:p>
      <w:pPr>
        <w:pStyle w:val="Heading4"/>
      </w:pPr>
      <w:bookmarkStart w:id="118" w:name="intrusion-upon-seclusion"/>
      <w:bookmarkEnd w:id="118"/>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119">
        <w:r>
          <w:rPr>
            <w:rStyle w:val="Link"/>
          </w:rPr>
          <w:t xml:space="preserve">Restatement 2nd of Torts § 652B: Intrusion upon Seclusion</w:t>
        </w:r>
      </w:hyperlink>
    </w:p>
    <w:p>
      <w:pPr>
        <w:pStyle w:val="Heading4"/>
      </w:pPr>
      <w:bookmarkStart w:id="120" w:name="publication-of-private-facts"/>
      <w:bookmarkEnd w:id="120"/>
      <w:r>
        <w:t xml:space="preserve">2. Publication of Private Facts</w:t>
      </w:r>
    </w:p>
    <w:p>
      <w:pPr>
        <w:pStyle w:val="Heading6"/>
      </w:pPr>
      <w:bookmarkStart w:id="121" w:name="aka-public-disclosure-of-true-but-embarrassing-private-facts."/>
      <w:bookmarkEnd w:id="121"/>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122">
        <w:r>
          <w:rPr>
            <w:rStyle w:val="Link"/>
          </w:rPr>
          <w:t xml:space="preserve">Restatement 2nd of Torts § 652D: Publicity Given to Private Life</w:t>
        </w:r>
      </w:hyperlink>
    </w:p>
    <w:p>
      <w:pPr>
        <w:pStyle w:val="Heading4"/>
      </w:pPr>
      <w:bookmarkStart w:id="123" w:name="false-light"/>
      <w:bookmarkEnd w:id="123"/>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24">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25">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26" w:name="shulman-v.-group-w.-productions-ca-1998"/>
      <w:bookmarkEnd w:id="126"/>
      <w:r>
        <w:rPr>
          <w:i/>
        </w:rPr>
        <w:t xml:space="preserve">Shulman v. Group W. Productions</w:t>
      </w:r>
      <w:r>
        <w:t xml:space="preserve"> </w:t>
      </w:r>
      <w:r>
        <w:t xml:space="preserve">(CA 1998)</w:t>
      </w:r>
    </w:p>
    <w:p>
      <w:pPr>
        <w:pStyle w:val="Compact"/>
        <w:numPr>
          <w:numId w:val="1016"/>
          <w:ilvl w:val="0"/>
        </w:numPr>
      </w:pPr>
      <w:hyperlink r:id="rId127">
        <w:r>
          <w:rPr>
            <w:rStyle w:val="Link"/>
          </w:rPr>
          <w:t xml:space="preserve">case at Google scholar</w:t>
        </w:r>
      </w:hyperlink>
    </w:p>
    <w:p>
      <w:pPr>
        <w:pStyle w:val="Compact"/>
        <w:numPr>
          <w:numId w:val="1016"/>
          <w:ilvl w:val="0"/>
        </w:numPr>
      </w:pPr>
      <w:hyperlink r:id="rId128">
        <w:r>
          <w:rPr>
            <w:rStyle w:val="Link"/>
          </w:rPr>
          <w:t xml:space="preserve">case at Westlaw</w:t>
        </w:r>
      </w:hyperlink>
      <w:r>
        <w:t xml:space="preserve">, 955 P.2d 469 (Cal. Sct. 1998).</w:t>
      </w:r>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29" w:name="haynes-v.-alfred-a.-knopf-inc."/>
      <w:bookmarkEnd w:id="129"/>
      <w:r>
        <w:t xml:space="preserve">Haynes v. Alfred A. Knopf, Inc.</w:t>
      </w:r>
    </w:p>
    <w:p>
      <w:pPr>
        <w:pStyle w:val="Heading6"/>
      </w:pPr>
      <w:bookmarkStart w:id="130" w:name="us-court-of-appeals-7th-circuit-1993"/>
      <w:bookmarkEnd w:id="130"/>
      <w:r>
        <w:t xml:space="preserve">US Court of Appeals, 7th Circuit (1993)</w:t>
      </w:r>
    </w:p>
    <w:p>
      <w:pPr>
        <w:pStyle w:val="Compact"/>
        <w:numPr>
          <w:numId w:val="1017"/>
          <w:ilvl w:val="0"/>
        </w:numPr>
      </w:pPr>
      <w:hyperlink r:id="rId131">
        <w:r>
          <w:rPr>
            <w:rStyle w:val="Link"/>
          </w:rPr>
          <w:t xml:space="preserve">case on Google Scholar</w:t>
        </w:r>
      </w:hyperlink>
    </w:p>
    <w:p>
      <w:pPr>
        <w:pStyle w:val="Compact"/>
        <w:numPr>
          <w:numId w:val="1017"/>
          <w:ilvl w:val="0"/>
        </w:numPr>
      </w:pPr>
      <w:hyperlink r:id="rId132">
        <w:r>
          <w:rPr>
            <w:rStyle w:val="Link"/>
          </w:rPr>
          <w:t xml:space="preserve">case on Westlaw</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33" w:name="defamation-1"/>
      <w:bookmarkEnd w:id="133"/>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134">
        <w:r>
          <w:rPr>
            <w:i/>
            <w:rStyle w:val="Link"/>
          </w:rPr>
          <w:t xml:space="preserve">Brown &amp; Williamson Tobacco Corp. v. Jacobson</w:t>
        </w:r>
        <w:r>
          <w:rPr>
            <w:rStyle w:val="Link"/>
          </w:rPr>
          <w:t xml:space="preserve"> </w:t>
        </w:r>
        <w:r>
          <w:rPr>
            <w:rStyle w:val="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135">
        <w:r>
          <w:rPr>
            <w:i/>
            <w:rStyle w:val="Link"/>
          </w:rPr>
          <w:t xml:space="preserve">Mittelman v. Witous</w:t>
        </w:r>
        <w:r>
          <w:rPr>
            <w:rStyle w:val="Link"/>
          </w:rPr>
          <w:t xml:space="preserve"> </w:t>
        </w:r>
        <w:r>
          <w:rPr>
            <w:rStyle w:val="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136">
        <w:r>
          <w:rPr>
            <w:i/>
            <w:rStyle w:val="Link"/>
          </w:rPr>
          <w:t xml:space="preserve">Chapski v. Copley Press</w:t>
        </w:r>
        <w:r>
          <w:rPr>
            <w:rStyle w:val="Link"/>
          </w:rPr>
          <w:t xml:space="preserve"> </w:t>
        </w:r>
        <w:r>
          <w:rPr>
            <w:rStyle w:val="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 been quick to find implications of criminal conduct or of employee or business misconduct in statements that might have seemed susceptible of an interpretation that would have taken them out of the per se categories. See</w:t>
      </w:r>
      <w:r>
        <w:t xml:space="preserve"> </w:t>
      </w:r>
      <w:hyperlink r:id="rId137">
        <w:r>
          <w:rPr>
            <w:i/>
            <w:rStyle w:val="Link"/>
          </w:rPr>
          <w:t xml:space="preserve">Babb v. Minder</w:t>
        </w:r>
        <w:r>
          <w:rPr>
            <w:rStyle w:val="Link"/>
          </w:rPr>
          <w:t xml:space="preserve"> </w:t>
        </w:r>
        <w:r>
          <w:rPr>
            <w:rStyle w:val="Link"/>
          </w:rPr>
          <w:t xml:space="preserve">(7th Cir. 1986)</w:t>
        </w:r>
      </w:hyperlink>
      <w:r>
        <w:t xml:space="preserve"> </w:t>
      </w:r>
      <w:r>
        <w:t xml:space="preserve">(statement that employee had "mooned" held actionable as an accusation of the crime of indecent exposure);</w:t>
      </w:r>
      <w:r>
        <w:t xml:space="preserve"> </w:t>
      </w:r>
      <w:hyperlink r:id="rId138">
        <w:r>
          <w:rPr>
            <w:i/>
            <w:rStyle w:val="Link"/>
          </w:rPr>
          <w:t xml:space="preserve">Costello v. Capital Cities Communications, Inc.</w:t>
        </w:r>
        <w:r>
          <w:rPr>
            <w:rStyle w:val="Link"/>
          </w:rPr>
          <w:t xml:space="preserve"> </w:t>
        </w:r>
        <w:r>
          <w:rPr>
            <w:rStyle w:val="Link"/>
          </w:rPr>
          <w:t xml:space="preserve">(Ill. 1988)</w:t>
        </w:r>
      </w:hyperlink>
      <w:r>
        <w:t xml:space="preserve"> </w:t>
      </w:r>
      <w:r>
        <w:t xml:space="preserve">(statement that employee had lied held actionable as implying lack of integrity in performance of duties);</w:t>
      </w:r>
      <w:r>
        <w:t xml:space="preserve"> </w:t>
      </w:r>
      <w:hyperlink r:id="rId139">
        <w:r>
          <w:rPr>
            <w:i/>
            <w:rStyle w:val="Link"/>
          </w:rPr>
          <w:t xml:space="preserve">Crinkley v. Dow Jones &amp; Co.</w:t>
        </w:r>
        <w:r>
          <w:rPr>
            <w:rStyle w:val="Link"/>
          </w:rPr>
          <w:t xml:space="preserve">(Ill.App.3d 1983)</w:t>
        </w:r>
      </w:hyperlink>
      <w:r>
        <w:t xml:space="preserve"> </w:t>
      </w:r>
      <w:r>
        <w:t xml:space="preserve">(statement alleging payoffs to agents of foreign governments held actionable);</w:t>
      </w:r>
      <w:r>
        <w:t xml:space="preserve"> </w:t>
      </w:r>
      <w:hyperlink r:id="rId134">
        <w:r>
          <w:rPr>
            <w:i/>
            <w:rStyle w:val="Link"/>
          </w:rPr>
          <w:t xml:space="preserve">Brown &amp; Williamson Tobacco Corp. v. Jacobson</w:t>
        </w:r>
        <w:r>
          <w:rPr>
            <w:rStyle w:val="Link"/>
          </w:rPr>
          <w:t xml:space="preserve"> </w:t>
        </w:r>
        <w:r>
          <w:rPr>
            <w:rStyle w:val="Link"/>
          </w:rPr>
          <w:t xml:space="preserve">(7th Cir. 1983)</w:t>
        </w:r>
      </w:hyperlink>
      <w:r>
        <w:t xml:space="preserve"> </w:t>
      </w:r>
      <w:r>
        <w:t xml:space="preserve">(allegations that cigarette company attempted through its advertising to entice children to smoke held actionable).</w:t>
      </w:r>
    </w:p>
    <w:p>
      <w:r>
        <w:t xml:space="preserve">The requirement of proving special damages does prevent Haynes from basing a libel claim on two other statements in the book that he contends are false: that his drinking was responsible for Kevin's defects and that his motives for leaving Ruby for Dorothy were financial. (The second is an implication rather than an outright statement, but we shall give Haynes the benefit of the doubt and assume with him that the book implies that his motives were financial rather than—an interpretation that the passage also supports, and that the innocent-construction rule, even in its tempered form after</w:t>
      </w:r>
      <w:r>
        <w:t xml:space="preserve"> </w:t>
      </w:r>
      <w:r>
        <w:rPr>
          <w:i/>
        </w:rPr>
        <w:t xml:space="preserve">Chapski,</w:t>
      </w:r>
      <w:r>
        <w:t xml:space="preserve"> </w:t>
      </w:r>
      <w:r>
        <w:t xml:space="preserve">might therefore require be placed on it — a more diffuse hope of betterment.) These statements are not within any of the per se categories and therefore are not actionable, because Haynes alleges no pecuniary injury. They probably would be nonactionable in any event as obvious statements of opinion (Ruby's and Lemann's respectively) rather than of fact. A statement of fact is not shielded from an action for defamation by being prefaced with the words "in my opinion," but if it is plain that the speaker is expressing a subjective view, an interpretation, a theory, conjecture, or surmise, rather than claiming to be in possession of objectively verifiable facts, the statement is not actionable.</w:t>
      </w:r>
      <w:r>
        <w:t xml:space="preserve"> </w:t>
      </w:r>
      <w:hyperlink r:id="rId140">
        <w:r>
          <w:rPr>
            <w:i/>
            <w:rStyle w:val="Link"/>
          </w:rPr>
          <w:t xml:space="preserve">Milkovich v. Lorain Journal Co.</w:t>
        </w:r>
        <w:r>
          <w:rPr>
            <w:rStyle w:val="Link"/>
          </w:rPr>
          <w:t xml:space="preserve"> </w:t>
        </w:r>
        <w:r>
          <w:rPr>
            <w:rStyle w:val="Link"/>
          </w:rPr>
          <w:t xml:space="preserve">(S.Ct. 1990)</w:t>
        </w:r>
      </w:hyperlink>
      <w:r>
        <w:t xml:space="preserve">;</w:t>
      </w:r>
    </w:p>
    <w:p>
      <w:r>
        <w:t xml:space="preserve">The facts about Kevin's condition and about the respective financial circumstances of Ruby and Dorothy were uncontested, and Ruby and Lemann were entitled to their interpretation of them. Luther drank heavily; the proposition that a man's heavy drinking can, and that Luther's heavy drinking did, damage a fetus is represented in the book merely as Ruby's conjecture. A reasonable reader would not suppose that she had proof, or even the scientific knowledge that might ground a reasonable inference. As for Luther's motives for leaving Ruby for Dorothy, they can never be known for sure (even by Luther) and anyone is entitled to speculate on a person's motives from the known facts of his behavior. Luther Haynes left a poor woman for a less poor one, and Lemann drew a natural though not inevitable inference. He did not pretend to have the inside dope. He and Ruby claim insight, not information that the plaintiff might be able to prove false in a trial.</w:t>
      </w:r>
    </w:p>
    <w:p>
      <w:r>
        <w:t xml:space="preserve">Lemann's source for the only statements upon which Luther Haynes can base his claim for defamation, as for most of the rest of what he wrote about Haynes, was Ruby Daniels. He had interviewed Haynes as well, but Haynes in his deposition denied that Lemann had questioned him about his relationship with Ruby. Haynes swears that he never left his children alone in a dangerous neighborhood when he was supposed to be with them, did not by his expenditures on the Pontiac deprive his children of shoes, and was fired not for drinking but because he had been given a bottle of liquor by a friend which was found unopened in his pocket by his supervisor; since his job was that of an armed security guard, the supervisor was unwilling to take a chance on the truthfulness of his story. Haynes's version of how he lost a job because of "drinking" is corroborated by Lemann's notes of his interview with Haynes, but is not mentioned in the book.</w:t>
      </w:r>
    </w:p>
    <w:p>
      <w:r>
        <w:t xml:space="preserve">It would take a trial to decide whether Ruby Daniels (and hence Nicholas Lemann) or Luther Haynes should be believed on these three matters. But the district judge was nevertheless correct to dismiss the defamation claim because if the gist of a defamatory statement is true, if in other words the statement is substantially true, error in detail is not actionable (citations omitted).</w:t>
      </w:r>
    </w:p>
    <w:p>
      <w:r>
        <w:t xml:space="preserve">To evaluate the application of this rule to Haynes's libel claims requires us to consider facts brought out in discovery and not contested, although they are not in the book. Haynes in his deposition admitted to drinking heavily during the period when he lost his job because of the unopened liquor bottle in his pocket. He admitted to being arrested and jailed for assaulting a police officer after drinking. When he walked out on Ruby he also walked out on his four children by her, and he refused to support them. She was forced to obtain court orders for child support. Haynes repeatedly flouted the orders and eventually was jailed for contempt. During their divorce proceedings it came out that, after leaving Ruby, he and Dorothy Johnson had had a marriage ceremony and he had entered their names in the marriage registry of the county clerk's office —two years before his divorce from Ruby.</w:t>
      </w:r>
    </w:p>
    <w:p>
      <w:r>
        <w:t xml:space="preserve">Beside these uncontested facts — not to mention the facts about Haynes in the book that he does not contend are false — the alleged falsehoods pale. They do not exhibit him in a worse light than a bare recitation of the uncontested facts about his behavior in relation to Ruby and her children would do. For Lemann left out much that was true. He did not mention the bigamous marriage, the repeated flouting of child-support orders, the arrest for assaulting a police officer, or the jailing for contempt. Substitute the true for the false (if Haynes is believed), and the damage to Haynes's reputation would be no less.</w:t>
      </w:r>
    </w:p>
    <w:p>
      <w:r>
        <w:t xml:space="preserve">The rule of substantial truth is based on a recognition that falsehoods which do no</w:t>
      </w:r>
      <w:r>
        <w:t xml:space="preserve"> </w:t>
      </w:r>
      <w:r>
        <w:rPr>
          <w:i/>
        </w:rPr>
        <w:t xml:space="preserve">incremental</w:t>
      </w:r>
      <w:r>
        <w:t xml:space="preserve"> </w:t>
      </w:r>
      <w:r>
        <w:t xml:space="preserve">damage to the plaintiff's reputation do not injure the only interest that the law of defamation protects. A news report that contains a false statement is actionable "only when 'significantly greater opprobrium' results from the report containing the falsehood than would result from the report without the falsehood."</w:t>
      </w:r>
      <w:r>
        <w:t xml:space="preserve"> </w:t>
      </w:r>
      <w:hyperlink r:id="rId141">
        <w:r>
          <w:rPr>
            <w:i/>
            <w:rStyle w:val="Link"/>
          </w:rPr>
          <w:t xml:space="preserve">Herron v. King Broadcasting Co., supra,</w:t>
        </w:r>
      </w:hyperlink>
      <w:r>
        <w:t xml:space="preserve">. Even when the plaintiff in a defamation suit is not a public figure, the Supreme Court insists in the name of the First Amendment that unless the author is deliberately lying or is recklessly indifferent to the truth or falsity of what he says (neither is a plausible hypothesis here), the plaintiff must prove actual though not necessarily pecuniary harm in order to recover damages.</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Falsehoods that do not harm the plaintiff's reputation more than a full recital of the true facts about him would do are thus not actionable. The rule making substantial truth a complete defense and the constitutional limitations on defamation suits coincide.</w:t>
      </w:r>
    </w:p>
    <w:p>
      <w:r>
        <w:t xml:space="preserve">Ordinarily the question whether a defamatory work is substantially true although erroneous in some details is for the jury.</w:t>
      </w:r>
      <w:r>
        <w:t xml:space="preserve"> </w:t>
      </w:r>
      <w:hyperlink r:id="rId142">
        <w:r>
          <w:rPr>
            <w:i/>
            <w:rStyle w:val="Link"/>
          </w:rPr>
          <w:t xml:space="preserve">Kohn v. West Hawaii Today, Inc.,</w:t>
        </w:r>
        <w:r>
          <w:rPr>
            <w:rStyle w:val="Link"/>
          </w:rPr>
          <w:t xml:space="preserve"> </w:t>
        </w:r>
        <w:r>
          <w:rPr>
            <w:rStyle w:val="Link"/>
          </w:rPr>
          <w:t xml:space="preserve">(HW 1982)</w:t>
        </w:r>
      </w:hyperlink>
      <w:r>
        <w:t xml:space="preserve">. But no reasonable jury, even if it believed Luther Haynes over Ruby Daniels on every issue on which they differ, could find that</w:t>
      </w:r>
      <w:r>
        <w:t xml:space="preserve"> </w:t>
      </w:r>
      <w:r>
        <w:rPr>
          <w:i/>
        </w:rPr>
        <w:t xml:space="preserve">The Promised Land</w:t>
      </w:r>
      <w:r>
        <w:t xml:space="preserve"> </w:t>
      </w:r>
      <w:r>
        <w:t xml:space="preserve">was not substantially true in its depiction of Luther at the time he lived with Ruby. He</w:t>
      </w:r>
      <w:r>
        <w:t xml:space="preserve"> </w:t>
      </w:r>
      <w:r>
        <w:rPr>
          <w:i/>
        </w:rPr>
        <w:t xml:space="preserve">was</w:t>
      </w:r>
      <w:r>
        <w:t xml:space="preserve"> </w:t>
      </w:r>
      <w:r>
        <w:t xml:space="preserve">a heavy drinker, a bad husband, a bad father, an erratic employee. These are things either that he concedes or that are incontestably established by the judicial records in his matrimonial litigation. Whether he left the children alone at night on some occasions when Ruby was working, or was fired for drinking rather than for having liquor on his person while working, or preferred to spend money on his car than on his children's shoes, are details that, while not trivial, would not if corrected have altered the picture that the true facts paint. And it makes no difference that the true facts were unknown until the trial. A person does not have a legally protected right to a reputation based on the concealment of the truth. 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 Keeton on the Law of Torts</w:t>
      </w:r>
      <w:r>
        <w:t xml:space="preserve"> </w:t>
      </w:r>
      <w:r>
        <w:t xml:space="preserve">§ 116, at pp. 840-41 (5th ed. 1984)) — is a complete defense to defamation. And the burden of proving falsity rests on the plaintiff.</w:t>
      </w:r>
      <w:r>
        <w:t xml:space="preserve"> </w:t>
      </w:r>
      <w:hyperlink r:id="rId143">
        <w:r>
          <w:rPr>
            <w:i/>
            <w:rStyle w:val="Link"/>
          </w:rPr>
          <w:t xml:space="preserve">Philadelphia Newspapers, Inc. v. Hepps</w:t>
        </w:r>
        <w:r>
          <w:rPr>
            <w:rStyle w:val="Link"/>
          </w:rPr>
          <w:t xml:space="preserve"> </w:t>
        </w:r>
        <w:r>
          <w:rPr>
            <w:rStyle w:val="Link"/>
          </w:rPr>
          <w:t xml:space="preserve">(S.Ct. 1986)</w:t>
        </w:r>
      </w:hyperlink>
    </w:p>
    <w:p>
      <w:r>
        <w:t xml:space="preserve">We must be careful, however, that we are not construing the gist of the allegedly defamatory statements so broadly as to invite defendants to commit, in effect, a further but privileged libel, by bringing to light every discreditable act that the plaintiff may have committed, in an effort to show that he is as "bad" as the defamatory statements depict him. This would strip people who had done bad things of any legal protection against being defamed; they would be defamation outlaws. The true damaging facts must be closely related to the false ones. But that test is satisfied. Luther abandoned his children and was eventually jailed for doing so. These truths encompass and transcend what, whether or not it might be elevated to criminal neglect, is, after all, common enough — leaving children, some of them teenagers, unattended late at night. (And how different is that from leaving a child at night with a teenage babysitter?) An armed security guard who is discovered by his employer to have a bottle of liquor in his pocket is equivalent in irresponsible employee conduct to an ordinary worker found drinking on the job. And a decision to spend money on a car rather than on one's children's clothes is subsumed by total financial abandonment of one's children in violation of court orders, an abandonment compounded by a bigamous marriage to a woman who herself had children. The allegedly false facts about Luther were variants of the true that did not paint him in a worse light. Corresponding to the "immaterial error[s]" of which the substantial-truth cases speak,</w:t>
      </w:r>
      <w:r>
        <w:t xml:space="preserve"> </w:t>
      </w:r>
      <w:hyperlink r:id="rId144">
        <w:r>
          <w:rPr>
            <w:i/>
            <w:rStyle w:val="Link"/>
          </w:rPr>
          <w:t xml:space="preserve">Sivulich v. Howard Publications, Inc.,</w:t>
        </w:r>
        <w:r>
          <w:rPr>
            <w:rStyle w:val="Link"/>
          </w:rPr>
          <w:t xml:space="preserve"> </w:t>
        </w:r>
        <w:r>
          <w:rPr>
            <w:rStyle w:val="Link"/>
          </w:rPr>
          <w:t xml:space="preserve">126 Ill.App.3d 129, 81 Ill. Dec. 416, 418, 466 N.E.2d 1218, 1220 (1984),</w:t>
        </w:r>
      </w:hyperlink>
      <w:r>
        <w:t xml:space="preserve"> </w:t>
      </w:r>
      <w:r>
        <w:t xml:space="preserve">the alleged falsehoods were merely illustrations of undoubted truths about Luther Haynes's character at the time, illustrations that even if false in detail conveyed an accurate impression. They were therefore substantially true within the meaning which this term must bear to make sense of the cases.</w:t>
      </w:r>
    </w:p>
    <w:p>
      <w:pPr>
        <w:pStyle w:val="Heading3"/>
      </w:pPr>
      <w:bookmarkStart w:id="145" w:name="invasion-of-privacy-1"/>
      <w:bookmarkEnd w:id="145"/>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46">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47">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48">
        <w:r>
          <w:rPr>
            <w:i/>
            <w:rStyle w:val="Link"/>
          </w:rPr>
          <w:t xml:space="preserve">Haelan Laboratories v. Topps Chewing Gum</w:t>
        </w:r>
        <w:r>
          <w:rPr>
            <w:rStyle w:val="Link"/>
          </w:rPr>
          <w:t xml:space="preserve"> </w:t>
        </w:r>
        <w:r>
          <w:rPr>
            <w:rStyle w:val="Link"/>
          </w:rPr>
          <w:t xml:space="preserve">(2d Cir. 1953)</w:t>
        </w:r>
      </w:hyperlink>
      <w:r>
        <w:t xml:space="preserve">;</w:t>
      </w:r>
      <w:r>
        <w:t xml:space="preserve"> </w:t>
      </w:r>
      <w:hyperlink r:id="rId107">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w:t>
      </w:r>
      <w:r>
        <w:rPr>
          <w:i/>
        </w:rPr>
        <w:t xml:space="preserve">De May v. Roberts</w:t>
      </w:r>
      <w:r>
        <w:t xml:space="preserve"> </w:t>
      </w:r>
      <w:r>
        <w:t xml:space="preserve">(MI 1881)] (many citations omitted);</w:t>
      </w:r>
    </w:p>
    <w:p>
      <w:r>
        <w:t xml:space="preserve">Harassing a celebrity by following her too closely, albeit on a public street. Cf.</w:t>
      </w:r>
      <w:r>
        <w:t xml:space="preserve"> </w:t>
      </w:r>
      <w:hyperlink r:id="rId149">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We said that proof of special damages is not required in a case in which the public revelation of personal facts is claimed to be an invasion of privacy. Even so, a plaintiff is not allowed to evade the rule that requires proof of such damages in defamation cases (outside the per se categories) by attempting to prove that some of the personal facts publicized about him are false, unless he is prepared to prove special damages — and perhaps, as we are about to see, there is no "unless." Haynes denies that his drinking had anything to do with his son Kevin's defects or that he was actuated by mercenary considerations in leaving Ruby for Dorothy. These denials, we have seen, could not be made the basis of a libel case in the absence of proof of special damages, here lacking. No more, we think, can they be used to enhance a privacy case, whether it is a false-light case,</w:t>
      </w:r>
      <w:r>
        <w:t xml:space="preserve"> </w:t>
      </w:r>
      <w:hyperlink r:id="rId134">
        <w:r>
          <w:rPr>
            <w:i/>
            <w:rStyle w:val="Link"/>
          </w:rPr>
          <w:t xml:space="preserve">Brown &amp; Williamson Tobacco Corp. v. Jacobson, supra,</w:t>
        </w:r>
      </w:hyperlink>
    </w:p>
    <w:p>
      <w:r>
        <w:t xml:space="preserve">See generally</w:t>
      </w:r>
      <w:r>
        <w:t xml:space="preserve"> </w:t>
      </w:r>
      <w:r>
        <w:rPr>
          <w:i/>
        </w:rPr>
        <w:t xml:space="preserve">Restatement (Second) of Torts, supra,</w:t>
      </w:r>
      <w:r>
        <w:t xml:space="preserve"> </w:t>
      </w:r>
      <w:r>
        <w:t xml:space="preserve">§ 652E, comment e. Indeed, that type of case presupposes the truth of the facts disclosed.</w:t>
      </w:r>
      <w:r>
        <w:t xml:space="preserve"> </w:t>
      </w:r>
      <w:r>
        <w:rPr>
          <w:i/>
        </w:rPr>
        <w:t xml:space="preserve">Id.</w:t>
      </w:r>
      <w:r>
        <w:t xml:space="preserve"> </w:t>
      </w:r>
      <w:r>
        <w:t xml:space="preserve">If they are false, the interest invaded is that protected by the defamation and false-light torts: the interest in being represented truthfully to the world.</w:t>
      </w:r>
    </w:p>
    <w:p>
      <w:r>
        <w:t xml:space="preserve">Absence of special damages may be the reason why the Hayneses have not appealed the dismissal of their claim that the defendants cast Luther in a false light — though in fairness to him we should point out that they may have placed him in a false light with respect to his motives for leaving Ruby. Lemann's interview notes suggest (as the book does not, at least not clearly) that the major difference which Haynes perceived between the two women was one of character rather than of financial wherewithal. According to the notes, Haynes told Lemann that Ruby "never wanted to work. She wanted to sit around and be on aid. I called Ruby and asked her why she let 'Nita [their daughter] have a baby and she said, She's grown. I couldn't handle that talk, so I said forget it. Ruby was on aid when I met her, and she wanted to have more kids so she could have more aid. Dorothy had three kids, and a job."</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w:t>
      </w:r>
      <w:r>
        <w:t xml:space="preserve"> </w:t>
      </w:r>
      <w:hyperlink r:id="rId150">
        <w:r>
          <w:rPr>
            <w:i/>
            <w:rStyle w:val="Link"/>
          </w:rPr>
          <w:t xml:space="preserve">Leidholdt v. L.F.P. Inc., supra,</w:t>
        </w:r>
      </w:hyperlink>
      <w:r>
        <w:t xml:space="preserve">. 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Two early cases illustrate the range of judicial thinking. In</w:t>
      </w:r>
      <w:r>
        <w:t xml:space="preserve"> </w:t>
      </w:r>
      <w:hyperlink r:id="rId151">
        <w:r>
          <w:rPr>
            <w:i/>
            <w:rStyle w:val="Link"/>
          </w:rPr>
          <w:t xml:space="preserve">Melvin v. Reid,</w:t>
        </w:r>
        <w:r>
          <w:rPr>
            <w:rStyle w:val="Link"/>
          </w:rPr>
          <w:t xml:space="preserve"> </w:t>
        </w:r>
        <w:r>
          <w:rPr>
            <w:rStyle w:val="Link"/>
          </w:rPr>
          <w:t xml:space="preserve">112 Cal.App. 285, 297 Pac. 91 (1931),</w:t>
        </w:r>
      </w:hyperlink>
      <w:r>
        <w:t xml:space="preserve"> </w:t>
      </w:r>
      <w:r>
        <w:t xml:space="preserve">the plaintiff was a former prostitute, who had been prosecuted but acquitted of murder. She later had married and (she alleged) for seven years had lived a blameless respectable life in a community in which her lurid past was unknown — when all was revealed in a movie about the murder case which used her maiden name. The court held that these allegations stated a claim for invasion of privacy. The Hayneses' claim is similar although less dramatic. They have been a respectable married couple for two decades. Luther's alcohol problem is behind him. He has steady employment as a doorman. His wife is a nurse, and in 1990 he told Lemann that the couple's combined income was $60,000 a year. He is not in trouble with the domestic relations court. He is a deacon of his church. He has come a long way from sharecropping in Mississippi and public housing in Chicago and he and his wife want to bury their past just as Mrs. Melvin wanted to do and in</w:t>
      </w:r>
      <w:r>
        <w:t xml:space="preserve"> </w:t>
      </w:r>
      <w:hyperlink r:id="rId151">
        <w:r>
          <w:rPr>
            <w:i/>
            <w:rStyle w:val="Link"/>
          </w:rPr>
          <w:t xml:space="preserve">Melvin v. Reid</w:t>
        </w:r>
      </w:hyperlink>
      <w:r>
        <w:t xml:space="preserve"> </w:t>
      </w:r>
      <w:r>
        <w:t xml:space="preserve">was held entitled to do.</w:t>
      </w:r>
    </w:p>
    <w:p>
      <w:r>
        <w:t xml:space="preserve">In Luther Haynes's own words, from his deposition, "I know I haven't been no angel, but since almost 30 years ago I have turned my life completely around. I stopped the drinking and all this bad habits and stuff like that, which I deny, some of [it] I didn't deny, because I have changed my life. It take me almost 30 years to change it and I am deeply in my church. I look good in the eyes of my church members and my community. Now, what is going to happen now when this public reads this garbage which I didn't tell Mr. Lemann to write? Then all this is going to go down the drain. And I worked like a son of a gun to build myself up in a good reputation and he has torn it down."</w:t>
      </w:r>
    </w:p>
    <w:p>
      <w:r>
        <w:t xml:space="preserve">But with</w:t>
      </w:r>
      <w:r>
        <w:t xml:space="preserve"> </w:t>
      </w:r>
      <w:hyperlink r:id="rId151">
        <w:r>
          <w:rPr>
            <w:i/>
            <w:rStyle w:val="Link"/>
          </w:rPr>
          <w:t xml:space="preserve">Melvin v. Reid</w:t>
        </w:r>
      </w:hyperlink>
      <w:r>
        <w:t xml:space="preserve"> </w:t>
      </w:r>
      <w:r>
        <w:t xml:space="preserve">compare</w:t>
      </w:r>
      <w:r>
        <w:t xml:space="preserve"> </w:t>
      </w:r>
      <w:hyperlink r:id="rId152">
        <w:r>
          <w:rPr>
            <w:i/>
            <w:rStyle w:val="Link"/>
          </w:rPr>
          <w:t xml:space="preserve">Sidis v. F-R Publishing Corp.,</w:t>
        </w:r>
        <w:r>
          <w:rPr>
            <w:rStyle w:val="Link"/>
          </w:rPr>
          <w:t xml:space="preserve"> </w:t>
        </w:r>
        <w:r>
          <w:rPr>
            <w:rStyle w:val="Link"/>
          </w:rPr>
          <w:t xml:space="preserve">113 F.2d 806 (2d Cir. 1940),</w:t>
        </w:r>
      </w:hyperlink>
      <w:r>
        <w:t xml:space="preserve"> </w:t>
      </w:r>
      <w:r>
        <w:t xml:space="preserve">another old case but one more consonant with modern thinking about the proper balance between the right of privacy and the freedom of the press. A child prodigy had flamed out; he was now an eccentric recluse. The</w:t>
      </w:r>
      <w:r>
        <w:t xml:space="preserve"> </w:t>
      </w:r>
      <w:r>
        <w:rPr>
          <w:i/>
        </w:rPr>
        <w:t xml:space="preserve">New Yorker</w:t>
      </w:r>
      <w:r>
        <w:t xml:space="preserve"> </w:t>
      </w:r>
      <w:r>
        <w:t xml:space="preserve">ran a "where is he now" article about him. The article, entitled "April Fool," did not reveal any misconduct by Sidis but it depicted him in mocking tones as a comical failure, in much the same way that the report of Ruby's "devastating imitation" of the amorous Luther Haynes could be thought to have depicted him as a comical failure, albeit with sinister consequences absent from Sidis's case. The invasion of Sidis's privacy was palpable. But the publisher won. No intimate physical details of Sidis's life had been revealed; and on the other side was the undoubted newsworthiness of a child prodigy, as of a woman prosecuted for murder. Sidis, unlike Mrs. Melvin, was not permitted to bury his past.</w:t>
      </w:r>
    </w:p>
    <w:p>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153">
        <w:r>
          <w:rPr>
            <w:i/>
            <w:rStyle w:val="Link"/>
          </w:rPr>
          <w:t xml:space="preserve">Cox Broadcasting Corp. v. Cohn</w:t>
        </w:r>
        <w:r>
          <w:rPr>
            <w:rStyle w:val="Link"/>
          </w:rPr>
          <w:t xml:space="preserve"> </w:t>
        </w:r>
        <w:r>
          <w:rPr>
            <w:rStyle w:val="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 A Georgia statute forbade the publication of names of rape victims. A television station obtained the name of a woman who had been raped and murdered from the indictment of her assailants (a public document), and broadcast it in defiance of the statute. The woman's father brought a tort suit against the broadcaster, claiming that the broadcast had violated his right of privacy. The broadcaster argued that the name of the woman was a matter of public concern, but the Georgia supreme court held that the statute established the contrary, and affirmed a finding of liability. The U.S. Supreme Court reversed, holding that the statute violated the First Amendment. The Court declined to rule whether the publication of truthful information can ever be made the basis of a tort suit for invasion of privacy, but held that the First Amendment creates a privilege to publish matters contained in public records even if publication would offend the sensibilities of a reasonable person. Years later the Court extended the rule laid down in</w:t>
      </w:r>
      <w:r>
        <w:t xml:space="preserve"> </w:t>
      </w:r>
      <w:r>
        <w:rPr>
          <w:i/>
        </w:rPr>
        <w:t xml:space="preserve">Cox</w:t>
      </w:r>
      <w:r>
        <w:t xml:space="preserve"> </w:t>
      </w:r>
      <w:r>
        <w:t xml:space="preserve">to a case in which a newspaper published a rape victim's name (again in violation of a state statute) that it had obtained from a police report that was not a public document.</w:t>
      </w:r>
      <w:r>
        <w:t xml:space="preserve"> </w:t>
      </w:r>
      <w:hyperlink r:id="rId154">
        <w:r>
          <w:rPr>
            <w:i/>
            <w:rStyle w:val="Link"/>
          </w:rPr>
          <w:t xml:space="preserve">Florida Star v. B.J.F.</w:t>
        </w:r>
        <w:r>
          <w:rPr>
            <w:rStyle w:val="Link"/>
          </w:rPr>
          <w:t xml:space="preserve"> </w:t>
        </w:r>
        <w:r>
          <w:rPr>
            <w:rStyle w:val="Link"/>
          </w:rPr>
          <w:t xml:space="preserve">(S.Ct. 1989)</w:t>
        </w:r>
      </w:hyperlink>
      <w:r>
        <w:t xml:space="preserve">. Again the Court was careful not to hold that states can never provide a tort remedy to a person about whom truthful, but intensely private, information of some interest to the public is published.</w:t>
      </w:r>
    </w:p>
    <w:p>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 declining to declare the tort of publicizing intensely personal facts totally defunct. (Indeed, the author of</w:t>
      </w:r>
      <w:r>
        <w:t xml:space="preserve"> </w:t>
      </w:r>
      <w:r>
        <w:rPr>
          <w:i/>
        </w:rPr>
        <w:t xml:space="preserve">Cox</w:t>
      </w:r>
      <w:r>
        <w:t xml:space="preserve"> </w:t>
      </w:r>
      <w:r>
        <w:t xml:space="preserve">dissented in</w:t>
      </w:r>
      <w:r>
        <w:t xml:space="preserve"> </w:t>
      </w:r>
      <w:r>
        <w:rPr>
          <w:i/>
        </w:rPr>
        <w:t xml:space="preserve">Florida Star.</w:t>
      </w:r>
      <w:r>
        <w:t xml:space="preserve">) The publication of facts in a public record or other official document, such as the police report in the</w:t>
      </w:r>
      <w:r>
        <w:t xml:space="preserve"> </w:t>
      </w:r>
      <w:r>
        <w:rPr>
          <w:i/>
        </w:rPr>
        <w:t xml:space="preserve">Florida Star,</w:t>
      </w:r>
      <w:r>
        <w:t xml:space="preserve"> </w:t>
      </w:r>
      <w:r>
        <w:t xml:space="preserve">is not to be equated to publishing a photo of a couple making love or of a person undergoing some intimate medical procedure; we even doubt that it would make a difference in such a case if the photograph had been printed in a government document (say the patient's file in a Veterans Administration hospital).</w:t>
      </w:r>
    </w:p>
    <w:p>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 Star,</w:t>
      </w:r>
      <w:r>
        <w:t xml:space="preserve"> </w:t>
      </w:r>
      <w:r>
        <w:t xml:space="preserve">the implications of those decisions for the branch of the right of privacy that limits the publication of private facts are profound, even for a case such as this in which, unlike</w:t>
      </w:r>
      <w:r>
        <w:t xml:space="preserve"> </w:t>
      </w:r>
      <w:hyperlink r:id="rId151">
        <w:r>
          <w:rPr>
            <w:i/>
            <w:rStyle w:val="Link"/>
          </w:rPr>
          <w:t xml:space="preserve">Melvin v. Reid</w:t>
        </w:r>
      </w:hyperlink>
      <w:r>
        <w:rPr>
          <w:i/>
        </w:rPr>
        <w:t xml:space="preserve">,</w:t>
      </w:r>
      <w:r>
        <w:t xml:space="preserve"> </w:t>
      </w:r>
      <w:r>
        <w:t xml:space="preserve">the primary source of the allegedly humiliating personal facts is not a public record. (The primary source is Ruby Daniels.) The Court must believe that the First Amendment greatly circumscribes the right even of a private figure to obtain damages for the publication of newsworthy facts about him, even when they are facts of a kind that people want very much to conceal. To be identified in the newspaper as a rape victim is intensely embarrassing. And it is not invited embarrassment. No one asks to be raped; the plaintiff in</w:t>
      </w:r>
      <w:r>
        <w:t xml:space="preserve"> </w:t>
      </w:r>
      <w:hyperlink r:id="rId151">
        <w:r>
          <w:rPr>
            <w:i/>
            <w:rStyle w:val="Link"/>
          </w:rPr>
          <w:t xml:space="preserve">Melvin v. Reid</w:t>
        </w:r>
      </w:hyperlink>
      <w:r>
        <w:t xml:space="preserve"> </w:t>
      </w:r>
      <w:r>
        <w:t xml:space="preserve">did not ask to be prosecuted for murder (remember, she was acquitted, though whether she actually was innocent is unknown); Sidis did not decide to be a prodigy; and 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r>
        <w:t xml:space="preserve"> </w:t>
      </w:r>
      <w:r>
        <w:rPr>
          <w:i/>
        </w:rPr>
        <w:t xml:space="preserve">Restatement (Second) of Torts, supra,</w:t>
      </w:r>
      <w:r>
        <w:t xml:space="preserve"> </w:t>
      </w:r>
      <w:r>
        <w:t xml:space="preserve">§ 652D(b).</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w:t>
      </w:r>
      <w:r>
        <w:t xml:space="preserve"> </w:t>
      </w:r>
      <w:hyperlink r:id="rId155">
        <w:r>
          <w:rPr>
            <w:i/>
            <w:rStyle w:val="Link"/>
          </w:rPr>
          <w:t xml:space="preserve">Gilbert v. Medical Economics Co., supra</w:t>
        </w:r>
      </w:hyperlink>
      <w:r>
        <w:t xml:space="preserve">.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156">
        <w:r>
          <w:rPr>
            <w:i/>
            <w:rStyle w:val="Link"/>
          </w:rPr>
          <w:t xml:space="preserve">Anderson v. Liberty Lobby, Inc.</w:t>
        </w:r>
        <w:r>
          <w:rPr>
            <w:rStyle w:val="Link"/>
          </w:rPr>
          <w:t xml:space="preserve"> </w:t>
        </w:r>
        <w:r>
          <w:rPr>
            <w:rStyle w:val="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157">
        <w:r>
          <w:rPr>
            <w:i/>
            <w:rStyle w:val="Link"/>
          </w:rPr>
          <w:t xml:space="preserve">Vassiliades v. Garfinckel's, supra</w:t>
        </w:r>
      </w:hyperlink>
      <w:r>
        <w:t xml:space="preserve"> </w:t>
      </w:r>
      <w:r>
        <w:t xml:space="preserve">and</w:t>
      </w:r>
      <w:r>
        <w:t xml:space="preserve"> </w:t>
      </w:r>
      <w:hyperlink r:id="rId158">
        <w:r>
          <w:rPr>
            <w:i/>
            <w:rStyle w:val="Link"/>
          </w:rPr>
          <w:t xml:space="preserve">Huskey v. National Broadcasting Co.</w:t>
        </w:r>
        <w:r>
          <w:rPr>
            <w:rStyle w:val="Link"/>
          </w:rPr>
          <w:t xml:space="preserve"> </w:t>
        </w:r>
        <w:r>
          <w:rPr>
            <w:rStyle w:val="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7">
        <w:r>
          <w:rPr>
            <w:i/>
            <w:rStyle w:val="Link"/>
          </w:rPr>
          <w:t xml:space="preserve">New York Times Co. v. Sullivan</w:t>
        </w:r>
        <w:r>
          <w:rPr>
            <w:rStyle w:val="Link"/>
          </w:rPr>
          <w:t xml:space="preserve"> </w:t>
        </w:r>
        <w:r>
          <w:rPr>
            <w:rStyle w:val="Link"/>
          </w:rPr>
          <w:t xml:space="preserve">(S.Ct. 1964)</w:t>
        </w:r>
      </w:hyperlink>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2"/>
      </w:pPr>
      <w:bookmarkStart w:id="159" w:name="public-figures"/>
      <w:bookmarkEnd w:id="159"/>
      <w:r>
        <w:t xml:space="preserve">Public Figures</w:t>
      </w:r>
    </w:p>
    <w:p>
      <w:pPr>
        <w:pStyle w:val="Heading3"/>
      </w:pPr>
      <w:bookmarkStart w:id="160" w:name="street-v.-national-broadcasting-co."/>
      <w:bookmarkEnd w:id="160"/>
      <w:r>
        <w:rPr>
          <w:i/>
        </w:rPr>
        <w:t xml:space="preserve">Street v. National Broadcasting Co.</w:t>
      </w:r>
    </w:p>
    <w:p>
      <w:pPr>
        <w:pStyle w:val="Heading5"/>
      </w:pPr>
      <w:bookmarkStart w:id="161" w:name="th-circuit-1981"/>
      <w:bookmarkEnd w:id="161"/>
      <w:r>
        <w:t xml:space="preserve">(6th Circuit 1981)</w:t>
      </w:r>
    </w:p>
    <w:p>
      <w:pPr>
        <w:pStyle w:val="Compact"/>
        <w:numPr>
          <w:numId w:val="1018"/>
          <w:ilvl w:val="0"/>
        </w:numPr>
      </w:pPr>
      <w:hyperlink r:id="rId162">
        <w:r>
          <w:rPr>
            <w:rStyle w:val="Link"/>
          </w:rPr>
          <w:t xml:space="preserve">Case in Google Scholar</w:t>
        </w:r>
      </w:hyperlink>
    </w:p>
    <w:p>
      <w:pPr>
        <w:pStyle w:val="Compact"/>
        <w:numPr>
          <w:numId w:val="1018"/>
          <w:ilvl w:val="0"/>
        </w:numPr>
      </w:pPr>
      <w:hyperlink r:id="rId163">
        <w:r>
          <w:rPr>
            <w:rStyle w:val="Link"/>
          </w:rPr>
          <w:t xml:space="preserve">Case in Wikipedia</w:t>
        </w:r>
      </w:hyperlink>
    </w:p>
    <w:p>
      <w:pPr>
        <w:pStyle w:val="Compact"/>
        <w:numPr>
          <w:numId w:val="1018"/>
          <w:ilvl w:val="0"/>
        </w:numPr>
      </w:pPr>
      <w:hyperlink r:id="rId164">
        <w:r>
          <w:rPr>
            <w:rStyle w:val="Link"/>
          </w:rPr>
          <w:t xml:space="preserve">Case in Westlaw</w:t>
        </w:r>
      </w:hyperlink>
    </w:p>
    <w:p>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 entitled "Judge Horton and the Scottsboro Boys," dramatizing the role of the local presiding judge in one of those trials.</w:t>
      </w:r>
    </w:p>
    <w:p>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 guilty because he believes that the evidence shows that the prosecutrix — plaintiff in this action — falsely accused the Scottsboro defendants. The play portrays the plaintiff in the derogatory light that Judge Horton apparently viewed her: as a woman attempting to send nine innocent blacks to the electric chair for a rape they did not commit.</w:t>
      </w:r>
    </w:p>
    <w:p>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 because the plaintiff is a public figure recovery must be based on a showing of malice; and (6) even if the malice standard is inapplicable, the claim that recovery must be based on a showing of negligence.</w:t>
      </w:r>
    </w:p>
    <w:p>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165" w:name="i.-statement-of-facts"/>
      <w:bookmarkEnd w:id="165"/>
      <w:r>
        <w:t xml:space="preserve">I. STATEMENT OF FACTS</w:t>
      </w:r>
    </w:p>
    <w:p>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r>
        <w:t xml:space="preserve">The United States Supreme Court reversed all convictions on the ground that the defendants were denied the right to counsel guaranteed by the Sixth Amendment. The defendants were retried separately after a change of venue from 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 were then tried before another judge on essentially the same evidence, convicted, and sentenced to death. The judge let the verdicts stand, and the convictions were affirmed by the Alabama Supreme Court.</w:t>
      </w:r>
    </w:p>
    <w:p>
      <w:r>
        <w:t xml:space="preserve">The United States Supreme Court again reversed, this time because blacks were systematically excluded from grand and petit juries. At his fourth retrial, Patterson was convicted and sentenced to seventy-five years in prison. 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 defendants had been falsely accused.</w:t>
      </w:r>
    </w:p>
    <w:p>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 omitting the statement that plaintiff was no longer living.</w:t>
      </w:r>
    </w:p>
    <w:p>
      <w:pPr>
        <w:pStyle w:val="Heading4"/>
      </w:pPr>
      <w:bookmarkStart w:id="166" w:name="the-dramatization"/>
      <w:bookmarkEnd w:id="166"/>
      <w:r>
        <w:t xml:space="preserve">The Dramatization</w:t>
      </w:r>
    </w:p>
    <w:p>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r>
        <w:t xml:space="preserve">Plaintiff's major libel and invasion of privacy claims are based on nine scenes in the movie in which she is portrayed in a derogatory light. The essential facts concerning these claims are as follows:</w:t>
      </w:r>
    </w:p>
    <w:p>
      <w:pPr>
        <w:numPr>
          <w:numId w:val="1019"/>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 doctor contradicted her testimony in this respect. Horton concluded that it was unlikely that Victoria Price had fainted.</w:t>
      </w:r>
    </w:p>
    <w:p>
      <w:pPr>
        <w:numPr>
          <w:numId w:val="1019"/>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 actually made.</w:t>
      </w:r>
    </w:p>
    <w:p>
      <w:pPr>
        <w:numPr>
          <w:numId w:val="1019"/>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9"/>
          <w:ilvl w:val="0"/>
        </w:numPr>
      </w:pPr>
      <w:r>
        <w:t xml:space="preserve">Plaintiff in this action contends that the movie falsely portrays her as defensive and evasive during her direct and cross-examination.</w:t>
      </w:r>
    </w:p>
    <w:p>
      <w:pPr>
        <w:numPr>
          <w:numId w:val="1019"/>
          <w:ilvl w:val="0"/>
        </w:numPr>
      </w:pPr>
      <w:r>
        <w:t xml:space="preserve">Plaintiff claims that the last question put to her on 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19"/>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 witness stand and so testify, however. Plaintiff argues that this scene is improper because it is not supported in the 1933 trial record. This is true. Neither the 1933 trial transcript nor Judge Horton's opinion make reference to this incident. The Carter book does state, however, that Judge Horton told the author in a later interview that this incident occurred.</w:t>
      </w:r>
      <w:r>
        <w:t xml:space="preserve"> </w:t>
      </w:r>
      <w:r>
        <w:rPr>
          <w:i/>
        </w:rPr>
        <w:t xml:space="preserve">Scottsboro</w:t>
      </w:r>
      <w:r>
        <w:t xml:space="preserve"> </w:t>
      </w:r>
      <w:r>
        <w:t xml:space="preserve">at 214-15.</w:t>
      </w:r>
    </w:p>
    <w:p>
      <w:pPr>
        <w:numPr>
          <w:numId w:val="1019"/>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 work. What do you say?" This is an accurate abridgement of the substance of the actual testimony of Lester Carter at the 1933 trial, although Price denied, both at the 1933 trial and in the defamation trial below, that she had had intercourse with Tiller. Judge Horton specifically found that she did not tell the truth. The dramatization quoted or closely paraphrased substantial portions of Judge Horton's 1933 opinion.</w:t>
      </w:r>
    </w:p>
    <w:p>
      <w:pPr>
        <w:numPr>
          <w:numId w:val="1019"/>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19"/>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 for work and that "her old man" was uptown scrounging for food. The play dramatizes Ramsey's testimony while he is on the stand by a flashback to the scene at the "hobo jungle." The flashback gives the impression that 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167" w:name="ii.-common-law-claims-and-defenses"/>
      <w:bookmarkEnd w:id="167"/>
      <w:r>
        <w:t xml:space="preserve">II. COMMON LAW CLAIMS AND DEFENSES</w:t>
      </w:r>
    </w:p>
    <w:p>
      <w:pPr>
        <w:pStyle w:val="Heading4"/>
      </w:pPr>
      <w:bookmarkStart w:id="168" w:name="a.-defamatory-nature-of-the-published-material"/>
      <w:bookmarkEnd w:id="168"/>
      <w:r>
        <w:t xml:space="preserve">A. Defamatory Nature of the Published Material</w:t>
      </w:r>
    </w:p>
    <w:p>
      <w:r>
        <w:t xml:space="preserve">Taken as a whole, the play conveys a defamatory image of the plaintiff. Although the words "bum" and "hustle" may be considered rhetorical hyperbole and therefore not necessarily defamatory,</w:t>
      </w:r>
      <w:r>
        <w:t xml:space="preserve"> </w:t>
      </w:r>
      <w:hyperlink r:id="rId169">
        <w:r>
          <w:rPr>
            <w:i/>
            <w:rStyle w:val="Link"/>
          </w:rPr>
          <w:t xml:space="preserve">Letter Carriers v. Austin,</w:t>
        </w:r>
        <w:r>
          <w:rPr>
            <w:rStyle w:val="Link"/>
          </w:rPr>
          <w:t xml:space="preserve"> </w:t>
        </w:r>
        <w:r>
          <w:rPr>
            <w:rStyle w:val="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70" w:name="b.-the-privilege-of-fair-comment"/>
      <w:bookmarkEnd w:id="170"/>
      <w:r>
        <w:t xml:space="preserve">B. The Privilege of Fair Comment</w:t>
      </w:r>
    </w:p>
    <w:p>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71">
        <w:r>
          <w:rPr>
            <w:i/>
            <w:rStyle w:val="Link"/>
          </w:rPr>
          <w:t xml:space="preserve">Venn v. Tennessean Newspapers, Inc.,</w:t>
        </w:r>
        <w:r>
          <w:rPr>
            <w:rStyle w:val="Link"/>
          </w:rPr>
          <w:t xml:space="preserve">(M.D.Tenn. 1962),</w:t>
        </w:r>
      </w:hyperlink>
      <w:r>
        <w:t xml:space="preserve"> </w:t>
      </w:r>
      <w:r>
        <w:rPr>
          <w:i/>
        </w:rPr>
        <w:t xml:space="preserve">aff'd,</w:t>
      </w:r>
      <w:r>
        <w:t xml:space="preserve"> </w:t>
      </w:r>
      <w:hyperlink r:id="rId172">
        <w:r>
          <w:rPr>
            <w:rStyle w:val="Link"/>
          </w:rPr>
          <w:t xml:space="preserve">313 F.2d 639 (6th Cir.),</w:t>
        </w:r>
      </w:hyperlink>
      <w:r>
        <w:t xml:space="preserve"> </w:t>
      </w:r>
      <w:r>
        <w:rPr>
          <w:i/>
        </w:rPr>
        <w:t xml:space="preserve">cert. denied,</w:t>
      </w:r>
      <w:r>
        <w:t xml:space="preserve"> </w:t>
      </w:r>
      <w:hyperlink r:id="rId173">
        <w:r>
          <w:rPr>
            <w:rStyle w:val="Link"/>
          </w:rPr>
          <w:t xml:space="preserve">374 U.S. 830 (1963),</w:t>
        </w:r>
      </w:hyperlink>
      <w:r>
        <w:t xml:space="preserve"> </w:t>
      </w:r>
      <w:r>
        <w:t xml:space="preserve">is now protected as opinion under the First Amendment,</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But this play does not say to the viewer that this is NBC's opinion about the character and actions of Victoria Price. It shows her inviting sexual intercourse and swearing falsely. We do not believe this characterization fits within the traditional fair comment privilege protecting opinion.</w:t>
      </w:r>
      <w:r>
        <w:t xml:space="preserve"> </w:t>
      </w:r>
      <w:r>
        <w:rPr>
          <w:i/>
        </w:rPr>
        <w:t xml:space="preserve">See</w:t>
      </w:r>
      <w:r>
        <w:t xml:space="preserve"> </w:t>
      </w:r>
      <w:hyperlink r:id="rId174">
        <w:r>
          <w:rPr>
            <w:i/>
            <w:rStyle w:val="Link"/>
          </w:rPr>
          <w:t xml:space="preserve">Cianci v. New York Times Publishing Co.,</w:t>
        </w:r>
        <w:r>
          <w:rPr>
            <w:rStyle w:val="Link"/>
          </w:rPr>
          <w:t xml:space="preserve"> </w:t>
        </w:r>
        <w:r>
          <w:rPr>
            <w:rStyle w:val="Link"/>
          </w:rPr>
          <w:t xml:space="preserve">(2nd Cir. 1980,</w:t>
        </w:r>
        <w:r>
          <w:rPr>
            <w:rStyle w:val="Link"/>
          </w:rPr>
          <w:t xml:space="preserve"> </w:t>
        </w:r>
        <w:r>
          <w:rPr>
            <w:i/>
            <w:rStyle w:val="Link"/>
          </w:rPr>
          <w:t xml:space="preserve">as amended</w:t>
        </w:r>
        <w:r>
          <w:rPr>
            <w:rStyle w:val="Link"/>
          </w:rPr>
          <w:t xml:space="preserve"> </w:t>
        </w:r>
        <w:r>
          <w:rPr>
            <w:rStyle w:val="Link"/>
          </w:rPr>
          <w:t xml:space="preserve">Oct. 27, 1980)</w:t>
        </w:r>
      </w:hyperlink>
      <w:r>
        <w:t xml:space="preserve"> </w:t>
      </w:r>
      <w:r>
        <w:t xml:space="preserve">(magazine article interpreting evidence of rape not expression of opinion).</w:t>
      </w:r>
    </w:p>
    <w:p>
      <w:pPr>
        <w:pStyle w:val="Heading4"/>
      </w:pPr>
      <w:bookmarkStart w:id="175" w:name="c.-the-defense-of-truth-and-the-privilege-of-fair-report-of-a-judicial-proceeding"/>
      <w:bookmarkEnd w:id="175"/>
      <w:r>
        <w:t xml:space="preserve">C. The Defense of Truth and the Privilege of Fair Report of a Judicial Proceeding</w:t>
      </w:r>
    </w:p>
    <w:p>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 one for the jury in a defamation action.</w:t>
      </w:r>
    </w:p>
    <w:p>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76">
        <w:r>
          <w:rPr>
            <w:i/>
            <w:rStyle w:val="Link"/>
          </w:rPr>
          <w:t xml:space="preserve">Langford v. Vanderbilt University,</w:t>
        </w:r>
        <w:r>
          <w:rPr>
            <w:rStyle w:val="Link"/>
          </w:rPr>
          <w:t xml:space="preserve"> </w:t>
        </w:r>
        <w:r>
          <w:rPr>
            <w:rStyle w:val="Link"/>
          </w:rPr>
          <w:t xml:space="preserve">(Tenn.App. 1958)</w:t>
        </w:r>
      </w:hyperlink>
      <w:r>
        <w:t xml:space="preserve">.</w:t>
      </w:r>
    </w:p>
    <w:p>
      <w:pPr>
        <w:pStyle w:val="Heading3"/>
      </w:pPr>
      <w:bookmarkStart w:id="177" w:name="iii.-the-first-amendment-defenses"/>
      <w:bookmarkEnd w:id="177"/>
      <w:r>
        <w:t xml:space="preserve">III. THE FIRST AMENDMENT DEFENSES</w:t>
      </w:r>
    </w:p>
    <w:p>
      <w:pPr>
        <w:pStyle w:val="Heading4"/>
      </w:pPr>
      <w:bookmarkStart w:id="178" w:name="a.-plaintiff-was-a-public-figure-during-the-scottsboro-trials"/>
      <w:bookmarkEnd w:id="178"/>
      <w:r>
        <w:t xml:space="preserve">A. Plaintiff was a Public Figure During the Scottsboro Trials</w:t>
      </w:r>
    </w:p>
    <w:p>
      <w:r>
        <w:t xml:space="preserve">Since common law defenses do not support the directed verdict for NBC, we must reach the constitutional issues, particularly the question whether plaintiff should be characterized as a "public figure." In</w:t>
      </w:r>
      <w:r>
        <w:t xml:space="preserve"> </w:t>
      </w:r>
      <w:r>
        <w:rPr>
          <w:i/>
        </w:rPr>
        <w:t xml:space="preserve">Gertz,</w:t>
      </w:r>
      <w:r>
        <w:t xml:space="preserve"> </w:t>
      </w:r>
      <w:r>
        <w:t xml:space="preserve">the Supreme Court held that one characterized as a "public figure," as distinguished from a private individual, "may recover for injury to reputation</w:t>
      </w:r>
      <w:r>
        <w:t xml:space="preserve"> </w:t>
      </w:r>
      <w:r>
        <w:rPr>
          <w:i/>
        </w:rPr>
        <w:t xml:space="preserve">only on clear and convincing proof</w:t>
      </w:r>
      <w:r>
        <w:t xml:space="preserve"> </w:t>
      </w:r>
      <w:r>
        <w:t xml:space="preserve">that the defamatory falsehood was made</w:t>
      </w:r>
      <w:r>
        <w:t xml:space="preserve"> </w:t>
      </w:r>
      <w:r>
        <w:rPr>
          <w:i/>
        </w:rPr>
        <w:t xml:space="preserve">with knowledge of its falsity or with reckless disregard for the truth.</w:t>
      </w:r>
      <w:r>
        <w:t xml:space="preserve">"</w:t>
      </w:r>
      <w:r>
        <w:t xml:space="preserve"> </w:t>
      </w:r>
      <w:hyperlink r:id="rId65">
        <w:r>
          <w:rPr>
            <w:i/>
            <w:rStyle w:val="Link"/>
          </w:rPr>
          <w:t xml:space="preserve">Gertz</w:t>
        </w:r>
      </w:hyperlink>
      <w:r>
        <w:t xml:space="preserve"> </w:t>
      </w:r>
      <w:r>
        <w:t xml:space="preserve">(emphasis added). In balancing the need to protect "private personality" and reputation against the need "to assure to the freedoms of speech and press that 'breathing space' essential to their free exercise," the Supreme Court has developed a general test to determine public figure status.</w:t>
      </w:r>
    </w:p>
    <w:p>
      <w:r>
        <w:rPr>
          <w:i/>
        </w:rPr>
        <w:t xml:space="preserve">Gertz</w:t>
      </w:r>
      <w:r>
        <w:t xml:space="preserve"> </w:t>
      </w:r>
      <w:r>
        <w:t xml:space="preserve">establishes a two-step analysis to determine if an individual is a public figure. First, does a "public controversy" exist? Second, what is "the nature and extent of [the] individual's participation" in that public controversy?</w:t>
      </w:r>
      <w:r>
        <w:t xml:space="preserve"> </w:t>
      </w:r>
      <w:hyperlink r:id="rId179">
        <w:r>
          <w:rPr>
            <w:i/>
            <w:rStyle w:val="Link"/>
          </w:rPr>
          <w:t xml:space="preserve">Gertz</w:t>
        </w:r>
      </w:hyperlink>
      <w:r>
        <w:t xml:space="preserve">. Three factors determine the "nature and extent" of an individual's involvement: the extent to which participation in the controversy is voluntary, the extent to which there is access to channels of effective communication in order to counteract false statements, and the prominence of the role played in the public controversy.</w:t>
      </w:r>
      <w:r>
        <w:t xml:space="preserve"> </w:t>
      </w:r>
      <w:hyperlink r:id="rId179">
        <w:r>
          <w:rPr>
            <w:i/>
            <w:rStyle w:val="Link"/>
          </w:rPr>
          <w:t xml:space="preserve">Gertz</w:t>
        </w:r>
      </w:hyperlink>
      <w:r>
        <w:t xml:space="preserve">.</w:t>
      </w:r>
    </w:p>
    <w:p>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r>
        <w:t xml:space="preserve">The first factor in determining the nature and extent of plaintiff's participation is the prominence of her role in the public controversy. She was the only alleged victim, and she was the major witness for the State in the prosecution of the nine black youths. Ruby Bates, the other young woman who earlier had testified against the defendants, later recanted her incriminating testimony. Plaintiff was left as the sole prosecutrix. Therefore, she played a prominent role in the public controversy.</w:t>
      </w:r>
    </w:p>
    <w:p>
      <w:r>
        <w:t xml:space="preserve">The second part of the test of public figure status is also met. Plaintiff had "access to the channels of effective communication and hence ... a ... realistic opportunity to counteract false statements."</w:t>
      </w:r>
      <w:r>
        <w:t xml:space="preserve"> </w:t>
      </w:r>
      <w:hyperlink r:id="rId65">
        <w:r>
          <w:rPr>
            <w:i/>
            <w:rStyle w:val="Link"/>
          </w:rPr>
          <w:t xml:space="preserve">Gertz</w:t>
        </w:r>
      </w:hyperlink>
      <w:r>
        <w:t xml:space="preserve">. The evidence indicates that plaintiff recognized her importance to the criminal trials and the interest of the public in her as a personality. The press clamored to interview her. She clearly had access to the media and was able to broadcast her view of the events.</w:t>
      </w:r>
    </w:p>
    <w:p>
      <w:r>
        <w:t xml:space="preserve">The most troublesome issue is whether plaintiff "voluntarily" "thrust" herself to the forefront of this public controversy. It cannot be said that a rape victim "voluntarily" injects herself into a criminal prosecution for rape.</w:t>
      </w:r>
      <w:r>
        <w:t xml:space="preserve"> </w:t>
      </w:r>
      <w:r>
        <w:rPr>
          <w:i/>
        </w:rPr>
        <w:t xml:space="preserve">See</w:t>
      </w:r>
      <w:r>
        <w:t xml:space="preserve"> </w:t>
      </w:r>
      <w:hyperlink r:id="rId180">
        <w:r>
          <w:rPr>
            <w:i/>
            <w:rStyle w:val="Link"/>
          </w:rPr>
          <w:t xml:space="preserve">Time, Inc. v. Firestone,</w:t>
        </w:r>
        <w:r>
          <w:rPr>
            <w:rStyle w:val="Link"/>
          </w:rPr>
          <w:t xml:space="preserve"> </w:t>
        </w:r>
        <w:r>
          <w:rPr>
            <w:rStyle w:val="Link"/>
          </w:rPr>
          <w:t xml:space="preserve">(S.Ct. 1976)</w:t>
        </w:r>
      </w:hyperlink>
      <w:r>
        <w:t xml:space="preserve">. In such an instance, voluntariness in the legal sense is closely bound to the issue of truth. If she was raped, her participation in the initial legal proceedings was involuntary for the purpose of determining her public figure status; if she falsely accused the defendants, her participation in this controversy was "voluntary." But legal standards in libel cases should not be drawn so that either the courts or the press must first determine the issue of truth before they can determine whether an individual should be treated as a public or a private figure. The principle of libel law should not be drawn in such a way that it forces the press, in an uncertain public controversy, to guess correctly about a woman's chastity.</w:t>
      </w:r>
    </w:p>
    <w:p>
      <w:r>
        <w:t xml:space="preserve">When the issue of truth and the issue of voluntariness are the same, it is necessary to determine the public figure status of the individual without regard to whether she "voluntarily" thrust herself in the forefront of the public controversy. If there were no evidence of voluntariness other than that turning on the issue of truth, we would not consider the fact of voluntariness. In such a case, the other factors — prominence and access to media — alone would determine public figure status. But in this case, there is evidence of voluntariness not bound up with the issue of truth. Plaintiff gave press interviews and aggressively promoted her version of the case outside of her actual courtroom testimony. In the context of a widely-reported, intense public controversy concerning the fairness of our criminal justice system, plaintiff was a public figure under</w:t>
      </w:r>
      <w:r>
        <w:t xml:space="preserve"> </w:t>
      </w:r>
      <w:r>
        <w:rPr>
          <w:i/>
        </w:rPr>
        <w:t xml:space="preserve">Gertz</w:t>
      </w:r>
      <w:r>
        <w:t xml:space="preserve"> </w:t>
      </w:r>
      <w:r>
        <w:t xml:space="preserve">because she played a major role, had effective access to the media and encouraged public interest in herself.</w:t>
      </w:r>
    </w:p>
    <w:p>
      <w:pPr>
        <w:pStyle w:val="Heading4"/>
      </w:pPr>
      <w:bookmarkStart w:id="181" w:name="b.-plaintiff-remains-a-public-figure"/>
      <w:bookmarkEnd w:id="181"/>
      <w:r>
        <w:t xml:space="preserve">B. Plaintiff Remains a Public Figure</w:t>
      </w:r>
    </w:p>
    <w:p>
      <w:r>
        <w:t xml:space="preserve">The Supreme Court has explicitly reserved the question of "whether or when an individual who was once a public figure may lose that status by the passage of time."</w:t>
      </w:r>
      <w:r>
        <w:t xml:space="preserve"> </w:t>
      </w:r>
      <w:hyperlink r:id="rId182">
        <w:r>
          <w:rPr>
            <w:i/>
            <w:rStyle w:val="Link"/>
          </w:rPr>
          <w:t xml:space="preserve">Wolston v. Reader's Digest Ass'n, Inc.,</w:t>
        </w:r>
        <w:r>
          <w:rPr>
            <w:rStyle w:val="Link"/>
          </w:rPr>
          <w:t xml:space="preserve"> </w:t>
        </w:r>
        <w:r>
          <w:rPr>
            <w:rStyle w:val="Link"/>
          </w:rPr>
          <w:t xml:space="preserve">(S.Ct. 1979)</w:t>
        </w:r>
      </w:hyperlink>
      <w:r>
        <w:t xml:space="preserve">. In</w:t>
      </w:r>
      <w:r>
        <w:t xml:space="preserve"> </w:t>
      </w:r>
      <w:r>
        <w:rPr>
          <w:i/>
        </w:rPr>
        <w:t xml:space="preserve">Wolston</w:t>
      </w:r>
      <w:r>
        <w:t xml:space="preserve"> </w:t>
      </w:r>
      <w:r>
        <w:t xml:space="preserve">the District of Columbia Circuit found that plaintiff was a public figure and retained that status for the purpose of later discussion of the espionage case in which he was called as a witness. The Supreme Court found that the plaintiff's role in the original public controversy was so minor that he was not a public figure. It therefore reserved the question of whether a person retains his public figure status.</w:t>
      </w:r>
    </w:p>
    <w:p>
      <w:r>
        <w:t xml:space="preserve">Plaintiff argues that even if she was a public figure at the time of the 1930s trial, she lost her public figure status over the intervening forty years. We reject this argument and hold that once a person becomes a public figure in connection with a particular controversy, that person remains a public figure thereafter for purposes of later commentary or treatment of</w:t>
      </w:r>
      <w:r>
        <w:t xml:space="preserve"> </w:t>
      </w:r>
      <w:r>
        <w:rPr>
          <w:i/>
        </w:rPr>
        <w:t xml:space="preserve">that controversy.</w:t>
      </w:r>
      <w:r>
        <w:t xml:space="preserve"> </w:t>
      </w:r>
      <w:r>
        <w:t xml:space="preserve">This rule finds support in both case law and analysis of the constitutional malice standard.</w:t>
      </w:r>
    </w:p>
    <w:p>
      <w:r>
        <w:t xml:space="preserve">On this issue the Fifth Circuit has reached the same conclusion as the District of Columbia Circuit in</w:t>
      </w:r>
      <w:r>
        <w:t xml:space="preserve"> </w:t>
      </w:r>
      <w:r>
        <w:rPr>
          <w:i/>
        </w:rPr>
        <w:t xml:space="preserve">Wolston.</w:t>
      </w:r>
      <w:r>
        <w:t xml:space="preserve"> </w:t>
      </w:r>
      <w:r>
        <w:t xml:space="preserve">In</w:t>
      </w:r>
      <w:r>
        <w:t xml:space="preserve"> </w:t>
      </w:r>
      <w:hyperlink r:id="rId183">
        <w:r>
          <w:rPr>
            <w:i/>
            <w:rStyle w:val="Link"/>
          </w:rPr>
          <w:t xml:space="preserve">Brewer v. Memphis Publishing Co., Inc.,</w:t>
        </w:r>
        <w:r>
          <w:rPr>
            <w:rStyle w:val="Link"/>
          </w:rPr>
          <w:t xml:space="preserve"> </w:t>
        </w:r>
        <w:r>
          <w:rPr>
            <w:rStyle w:val="Link"/>
          </w:rPr>
          <w:t xml:space="preserve">(5th Cir. 1980),</w:t>
        </w:r>
      </w:hyperlink>
      <w:r>
        <w:t xml:space="preserve"> </w:t>
      </w:r>
      <w:r>
        <w:t xml:space="preserve">plaintiff sued when a newspaper implied that she was reviving a long-dormant romantic relationship with Elvis Presley. The Fifth Circuit concluded that although the passage of time might narrow the range of topics protected by a malice standard, plaintiff remained a public figure when the defendant commented on her romantic relationship. The court noted that plaintiff's name continued to be connected with Presley even after her retirement from show business.</w:t>
      </w:r>
    </w:p>
    <w:p>
      <w:r>
        <w:t xml:space="preserve">Other courts have assumed</w:t>
      </w:r>
      <w:r>
        <w:t xml:space="preserve"> </w:t>
      </w:r>
      <w:r>
        <w:rPr>
          <w:i/>
        </w:rPr>
        <w:t xml:space="preserve">sub silentio</w:t>
      </w:r>
      <w:r>
        <w:t xml:space="preserve"> </w:t>
      </w:r>
      <w:r>
        <w:t xml:space="preserve">that the public figure status was retained over the passage of time.</w:t>
      </w:r>
      <w:r>
        <w:t xml:space="preserve"> </w:t>
      </w:r>
      <w:r>
        <w:rPr>
          <w:i/>
        </w:rPr>
        <w:t xml:space="preserve">See, e. g.,</w:t>
      </w:r>
      <w:r>
        <w:t xml:space="preserve"> </w:t>
      </w:r>
      <w:hyperlink r:id="rId184">
        <w:r>
          <w:rPr>
            <w:i/>
            <w:rStyle w:val="Link"/>
          </w:rPr>
          <w:t xml:space="preserve">Meeropol v. Nizer,</w:t>
        </w:r>
        <w:r>
          <w:rPr>
            <w:rStyle w:val="Link"/>
          </w:rPr>
          <w:t xml:space="preserve"> </w:t>
        </w:r>
        <w:r>
          <w:rPr>
            <w:rStyle w:val="Link"/>
          </w:rPr>
          <w:t xml:space="preserve">(2d Cir. 1977),</w:t>
        </w:r>
      </w:hyperlink>
      <w:r>
        <w:t xml:space="preserve"> </w:t>
      </w:r>
      <w:r>
        <w:rPr>
          <w:i/>
        </w:rPr>
        <w:t xml:space="preserve">cert. denied,</w:t>
      </w:r>
      <w:r>
        <w:t xml:space="preserve"> </w:t>
      </w:r>
      <w:hyperlink r:id="rId185">
        <w:r>
          <w:rPr>
            <w:rStyle w:val="Link"/>
          </w:rPr>
          <w:t xml:space="preserve">(S.Ct. 1978)</w:t>
        </w:r>
      </w:hyperlink>
      <w:r>
        <w:t xml:space="preserve"> </w:t>
      </w:r>
      <w:r>
        <w:t xml:space="preserve">(having spent most of their early years in limelight, sons of Julius and Ethel Rosenberg are public figures for purposes of subsequent commentary on Rosenberg trials). Some courts have relied on a pre-</w:t>
      </w:r>
      <w:r>
        <w:rPr>
          <w:i/>
        </w:rPr>
        <w:t xml:space="preserve">Gertz</w:t>
      </w:r>
      <w:r>
        <w:t xml:space="preserve"> </w:t>
      </w:r>
      <w:r>
        <w:t xml:space="preserve">"newsworthiness" analysis to support a finding that the passage of time did not alter the standard of liability.</w:t>
      </w:r>
    </w:p>
    <w:p>
      <w:r>
        <w:t xml:space="preserve">Our nation depends on "robust debate" to determine the best answer to public controversies of this sort. The public figure doctrine makes it possible for publishers to provide information on such issues to the debating public, undeterred by the threat of liability except in cases of actual malice. Developed in the context of contemporaneous reporting, the doctrine promotes a forceful exchange of views.</w:t>
      </w:r>
    </w:p>
    <w:p>
      <w:r>
        <w:t xml:space="preserve">Considerations that underlie the public figure doctrine in the context of contemporaneous reporting also apply to later historical or dramatic treatment of the same events. Past public figures who now live in obscurity do not lose their access to channels of communication if they choose to comment on their role in the past public controversy. And although the publisher of history does not operate under journalistic deadlines it generally makes little difference in terms of accuracy and verifiability that the events on which a publisher is reporting occurred decades ago. Although information may come to light over the course of time, the distance of years does not necessarily make more data available to a reporter: memories fade; witnesses forget; sources disappear.</w:t>
      </w:r>
    </w:p>
    <w:p>
      <w:r>
        <w:t xml:space="preserve">There is no reason for the debate to be any less vigorous when events that are the subject of current discussion occurred several years earlier. The mere passage of time does not automatically diminish the significance of events or the public's need for information. A nation that prizes its heritage need have no illusions about its past. It is no more fitting for the Court to constrain the analysis of past events than to stem the tide of current news. From Alfred Dreyfus to Alger Hiss, famous cases have been debated and reinterpreted by commentators and historians. A contrary rule would tend to restrain efforts to shed new light on historical events and reconsideration of past errors.</w:t>
      </w:r>
    </w:p>
    <w:p>
      <w:r>
        <w:t xml:space="preserve">The plaintiff was the pivotal character in the most famous rape case of the twentieth century. It became a political controversy as well as a legal dispute. As the white prosecutrix of nine black youths during an era of racial prejudice in the South, she aroused the attention of the nation. The prosecutions were among the first to focus the conscience of the nation on the question of the ability of our system of justice to provide fair trials to blacks in the South. The question persists today. As long as the question remains, the Scottsboro boys case will not be relegated to the dusty pages of the scholarly treatise. It will remain a living controversy.</w:t>
      </w:r>
    </w:p>
    <w:p>
      <w:pPr>
        <w:pStyle w:val="Heading4"/>
      </w:pPr>
      <w:bookmarkStart w:id="186" w:name="c.-evidence-insufficient-to-support-malice"/>
      <w:bookmarkEnd w:id="186"/>
      <w:r>
        <w:t xml:space="preserve">C. Evidence Insufficient to Support Malice</w:t>
      </w:r>
    </w:p>
    <w:p>
      <w:r>
        <w:t xml:space="preserve">A plaintiff may not recover under the malice standard unless there is "clear and convincing proof" that the defamation was published "with knowledge of its falsity or with reckless disregard for the truth."</w:t>
      </w:r>
      <w:r>
        <w:t xml:space="preserve"> </w:t>
      </w:r>
      <w:hyperlink r:id="rId179">
        <w:r>
          <w:rPr>
            <w:i/>
            <w:rStyle w:val="Link"/>
          </w:rPr>
          <w:t xml:space="preserve">Gertz,</w:t>
        </w:r>
      </w:hyperlink>
      <w:r>
        <w:t xml:space="preserve">. There is no evidence that NBC had knowledge that its portrayal of Victoria Price was false or that NBC recklessly disregarded the truth. The derogatory portrayal of Price in the movie is based in all material respects on the detailed findings of Judge Horton at the trial and Dr. Carter in his book. When the truth is uncertain and seems undiscoverable through further investigation, reliance on these two sources is not unreasonable.</w:t>
      </w:r>
    </w:p>
    <w:p>
      <w:r>
        <w:t xml:space="preserve">We gain perspective on this question when we put to ourselves another case. Dr. Carter, in his book, persuasively argues, based on the evidence, that the Communist Party financed and controlled the defense of the Scottsboro boys. A different playwright might choose to portray Judge Horton as some Southern newspapers portrayed him at the time — as an evil judge who associated himself with a Communist cause and gave his approval to interracial rape in order to curry favor with the eastern press. The problem would be similar had Judge Horton — for many years before his death an obscure private citizen — sued the publisher for libel.</w:t>
      </w:r>
    </w:p>
    <w:p>
      <w:r>
        <w:t xml:space="preserve">Some controversial historical events like the Scottsboro trials become symbolic and take on an overlay of political meaning. Speech about such events becomes in part political speech. The hypothetical case and the actual case before us illustrate that an individual's social philosophy and political leanings color his historical perspective. His political opinions cause him to draw different lessons from history and to see historical events and facts in a different light. He believes the historical evidence he wants to believe and casts aside other evidence to the contrary. So long as there is no evidence of bad faith or conscious or extreme disregard of the truth, the speaker in such a situation does not violate the malice standard. His version of history may be wrong, but the law does not punish him for being a bad historian.</w:t>
      </w:r>
    </w:p>
    <w:p>
      <w:r>
        <w:t xml:space="preserve">The malice standard is flexible and encourages diverse political opinions and robust debate about social issues. It tolerates silly arguments and strange ways of yoking facts together in unusual patterns. But it is not infinitely expandable. It does not abolish all the common law of libel even in the political context. It still protects us against the "big political lie," the conscious or reckless falsehood. We do not have that in this case.</w:t>
      </w:r>
    </w:p>
    <w:p>
      <w:r>
        <w:t xml:space="preserve">Accordingly, the judgment of the District Court is affirmed.</w:t>
      </w:r>
    </w:p>
    <w:p>
      <w:pPr>
        <w:pStyle w:val="Heading4"/>
      </w:pPr>
      <w:bookmarkStart w:id="187" w:name="footnotereference"/>
      <w:bookmarkEnd w:id="187"/>
      <w:r>
        <w:t xml:space="preserve">Footnote/Reference</w:t>
      </w:r>
    </w:p>
    <w:p>
      <w:pPr>
        <w:pStyle w:val="Compact"/>
        <w:numPr>
          <w:numId w:val="1020"/>
          <w:ilvl w:val="0"/>
        </w:numPr>
      </w:pPr>
      <w:hyperlink r:id="rId188">
        <w:r>
          <w:rPr>
            <w:i/>
            <w:rStyle w:val="Link"/>
          </w:rPr>
          <w:t xml:space="preserve">Spahn v. Julian Messner</w:t>
        </w:r>
      </w:hyperlink>
      <w:r>
        <w:t xml:space="preserve">, 233 NE.2d 840 (NYCtApp 1967). Described in an article on False Light at</w:t>
      </w:r>
      <w:r>
        <w:t xml:space="preserve"> </w:t>
      </w:r>
      <w:hyperlink r:id="rId189">
        <w:r>
          <w:rPr>
            <w:rStyle w:val="Link"/>
          </w:rPr>
          <w:t xml:space="preserve">Wikipedia</w:t>
        </w:r>
      </w:hyperlink>
      <w:r>
        <w:t xml:space="preserve">.</w:t>
      </w:r>
    </w:p>
    <w:p>
      <w:pPr>
        <w:pStyle w:val="Compact"/>
        <w:numPr>
          <w:numId w:val="1020"/>
          <w:ilvl w:val="0"/>
        </w:numPr>
      </w:pPr>
      <w:hyperlink r:id="rId190">
        <w:r>
          <w:rPr>
            <w:i/>
            <w:rStyle w:val="Link"/>
          </w:rPr>
          <w:t xml:space="preserve">Time, Inc. v. Hill</w:t>
        </w:r>
      </w:hyperlink>
      <w:r>
        <w:t xml:space="preserve">, 385 US 374 (1967).</w:t>
      </w:r>
      <w:r>
        <w:t xml:space="preserve"> </w:t>
      </w:r>
      <w:hyperlink r:id="rId191">
        <w:r>
          <w:rPr>
            <w:rStyle w:val="Link"/>
          </w:rPr>
          <w:t xml:space="preserve">Wikipedia</w:t>
        </w:r>
      </w:hyperlink>
      <w:r>
        <w:t xml:space="preserve">.</w:t>
      </w:r>
    </w:p>
    <w:p>
      <w:pPr>
        <w:pStyle w:val="Compact"/>
        <w:numPr>
          <w:numId w:val="1020"/>
          <w:ilvl w:val="0"/>
        </w:numPr>
      </w:pPr>
      <w:hyperlink r:id="rId125">
        <w:r>
          <w:rPr>
            <w:i/>
            <w:rStyle w:val="Link"/>
          </w:rPr>
          <w:t xml:space="preserve">Douglass v. Hustler Magazine</w:t>
        </w:r>
      </w:hyperlink>
      <w:r>
        <w:t xml:space="preserve">, 769 F.2d 1128 (7th Cir. 1985).</w:t>
      </w:r>
    </w:p>
    <w:p>
      <w:pPr>
        <w:pStyle w:val="Compact"/>
        <w:numPr>
          <w:numId w:val="1020"/>
          <w:ilvl w:val="0"/>
        </w:numPr>
      </w:pPr>
      <w:hyperlink r:id="rId59">
        <w:r>
          <w:rPr>
            <w:i/>
            <w:rStyle w:val="Link"/>
          </w:rPr>
          <w:t xml:space="preserve">Davis v. Costa-Gavaras</w:t>
        </w:r>
      </w:hyperlink>
      <w:r>
        <w:t xml:space="preserve">, 654 F.Supp 653 (SDNY 1987).</w:t>
      </w:r>
      <w:r>
        <w:t xml:space="preserve"> </w:t>
      </w:r>
      <w:hyperlink r:id="rId60">
        <w:r>
          <w:rPr>
            <w:rStyle w:val="Link"/>
          </w:rPr>
          <w:t xml:space="preserve">Loyola Entertainment Law Journal Case Note</w:t>
        </w:r>
      </w:hyperlink>
      <w:r>
        <w:t xml:space="preserve">.</w:t>
      </w:r>
      <w:r>
        <w:br w:type="textWrapping"/>
      </w:r>
    </w:p>
    <w:p>
      <w:pPr>
        <w:pStyle w:val="Compact"/>
        <w:numPr>
          <w:numId w:val="1020"/>
          <w:ilvl w:val="0"/>
        </w:numPr>
      </w:pPr>
      <w:hyperlink r:id="rId192">
        <w:r>
          <w:rPr>
            <w:i/>
            <w:rStyle w:val="Link"/>
          </w:rPr>
          <w:t xml:space="preserve">Hustler v. Falwell</w:t>
        </w:r>
      </w:hyperlink>
      <w:r>
        <w:t xml:space="preserve">, 108 S.Ct. 876 (1988).</w:t>
      </w:r>
      <w:r>
        <w:t xml:space="preserve"> </w:t>
      </w:r>
      <w:hyperlink r:id="rId193">
        <w:r>
          <w:rPr>
            <w:rStyle w:val="Link"/>
          </w:rPr>
          <w:t xml:space="preserve">Wikipedia</w:t>
        </w:r>
      </w:hyperlink>
      <w:r>
        <w:t xml:space="preserve">.</w:t>
      </w:r>
      <w:r>
        <w:br w:type="textWrapping"/>
      </w:r>
    </w:p>
    <w:p>
      <w:pPr>
        <w:pStyle w:val="Compact"/>
        <w:numPr>
          <w:numId w:val="1020"/>
          <w:ilvl w:val="0"/>
        </w:numPr>
      </w:pPr>
      <w:hyperlink r:id="rId194">
        <w:r>
          <w:rPr>
            <w:i/>
            <w:rStyle w:val="Link"/>
          </w:rPr>
          <w:t xml:space="preserve">Hustler Magazine v. Falwell</w:t>
        </w:r>
        <w:r>
          <w:rPr>
            <w:rStyle w:val="Link"/>
          </w:rPr>
          <w:t xml:space="preserve">: Pornography and First Amendment Rights (1997)</w:t>
        </w:r>
      </w:hyperlink>
    </w:p>
    <w:p>
      <w:pPr>
        <w:pStyle w:val="Compact"/>
        <w:numPr>
          <w:numId w:val="1020"/>
          <w:ilvl w:val="0"/>
        </w:numPr>
      </w:pPr>
      <w:hyperlink r:id="rId88">
        <w:r>
          <w:rPr>
            <w:i/>
            <w:rStyle w:val="Link"/>
          </w:rPr>
          <w:t xml:space="preserve">Matthews v. Wozencraft,</w:t>
        </w:r>
      </w:hyperlink>
      <w:r>
        <w:t xml:space="preserve"> </w:t>
      </w:r>
      <w:r>
        <w:t xml:space="preserve">15 F.3d 432 (5th Cir. 1994).</w:t>
      </w:r>
      <w:r>
        <w:t xml:space="preserve"> </w:t>
      </w:r>
      <w:hyperlink r:id="rId89">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20"/>
          <w:ilvl w:val="0"/>
        </w:numPr>
      </w:pPr>
      <w:hyperlink r:id="rId128">
        <w:r>
          <w:rPr>
            <w:i/>
            <w:rStyle w:val="Link"/>
          </w:rPr>
          <w:t xml:space="preserve">Shulman v. Group W. Productions</w:t>
        </w:r>
      </w:hyperlink>
      <w:r>
        <w:t xml:space="preserve">, 955 P.2d 469 (Cal. Sct. 1998).</w:t>
      </w:r>
      <w:r>
        <w:br w:type="textWrapping"/>
      </w:r>
    </w:p>
    <w:p>
      <w:pPr>
        <w:pStyle w:val="Compact"/>
        <w:numPr>
          <w:numId w:val="1020"/>
          <w:ilvl w:val="0"/>
        </w:numPr>
      </w:pPr>
      <w:hyperlink r:id="rId195">
        <w:r>
          <w:rPr>
            <w:i/>
            <w:rStyle w:val="Link"/>
          </w:rPr>
          <w:t xml:space="preserve">Dresbach v. Doubleday &amp; Co.</w:t>
        </w:r>
      </w:hyperlink>
      <w:r>
        <w:t xml:space="preserve">, 518 F.Supp 1285 (1981).</w:t>
      </w:r>
      <w:r>
        <w:br w:type="textWrapping"/>
      </w:r>
    </w:p>
    <w:p>
      <w:pPr>
        <w:pStyle w:val="Compact"/>
        <w:numPr>
          <w:numId w:val="1020"/>
          <w:ilvl w:val="0"/>
        </w:numPr>
      </w:pPr>
      <w:hyperlink r:id="rId196">
        <w:r>
          <w:rPr>
            <w:i/>
            <w:rStyle w:val="Link"/>
          </w:rPr>
          <w:t xml:space="preserve">Street v. NBC</w:t>
        </w:r>
      </w:hyperlink>
      <w:r>
        <w:t xml:space="preserve">, 645 F.2d 1227 (6th Cir. 1981).</w:t>
      </w:r>
    </w:p>
    <w:p>
      <w:pPr>
        <w:pStyle w:val="Compact"/>
        <w:numPr>
          <w:numId w:val="1020"/>
          <w:ilvl w:val="0"/>
        </w:numPr>
      </w:pPr>
      <w:hyperlink r:id="rId197">
        <w:r>
          <w:rPr>
            <w:i/>
            <w:rStyle w:val="Link"/>
          </w:rPr>
          <w:t xml:space="preserve">Spahn v. Julian Messner</w:t>
        </w:r>
      </w:hyperlink>
      <w:r>
        <w:t xml:space="preserve">, 233 NE.2d 840 (1967). Described in an article on False Light at</w:t>
      </w:r>
      <w:r>
        <w:t xml:space="preserve"> </w:t>
      </w:r>
      <w:hyperlink r:id="rId189">
        <w:r>
          <w:rPr>
            <w:rStyle w:val="Link"/>
          </w:rPr>
          <w:t xml:space="preserve">Wikipedia</w:t>
        </w:r>
      </w:hyperlink>
      <w:r>
        <w:t xml:space="preserve">.</w:t>
      </w:r>
      <w:r>
        <w:br w:type="textWrapping"/>
      </w:r>
    </w:p>
    <w:p>
      <w:pPr>
        <w:pStyle w:val="Compact"/>
        <w:numPr>
          <w:numId w:val="1020"/>
          <w:ilvl w:val="0"/>
        </w:numPr>
      </w:pPr>
      <w:hyperlink r:id="rId190">
        <w:r>
          <w:rPr>
            <w:i/>
            <w:rStyle w:val="Link"/>
          </w:rPr>
          <w:t xml:space="preserve">Time, Inc. v. Hill</w:t>
        </w:r>
      </w:hyperlink>
      <w:r>
        <w:t xml:space="preserve">, 385 US 374 (1967).</w:t>
      </w:r>
      <w:r>
        <w:t xml:space="preserve"> </w:t>
      </w:r>
      <w:hyperlink r:id="rId191">
        <w:r>
          <w:rPr>
            <w:rStyle w:val="Link"/>
          </w:rPr>
          <w:t xml:space="preserve">Wikipedia</w:t>
        </w:r>
      </w:hyperlink>
      <w:r>
        <w:t xml:space="preserve">.</w:t>
      </w:r>
      <w:r>
        <w:br w:type="textWrapping"/>
      </w:r>
    </w:p>
    <w:p>
      <w:pPr>
        <w:pStyle w:val="Compact"/>
        <w:numPr>
          <w:numId w:val="1020"/>
          <w:ilvl w:val="0"/>
        </w:numPr>
      </w:pPr>
      <w:hyperlink r:id="rId125">
        <w:r>
          <w:rPr>
            <w:i/>
            <w:rStyle w:val="Link"/>
          </w:rPr>
          <w:t xml:space="preserve">Douglass v. Hustler Magazine</w:t>
        </w:r>
      </w:hyperlink>
      <w:r>
        <w:t xml:space="preserve">, 769 F.2d 1128 (7th Cir. 1985)</w:t>
      </w:r>
    </w:p>
    <w:p>
      <w:pPr>
        <w:pStyle w:val="Compact"/>
        <w:numPr>
          <w:numId w:val="1020"/>
          <w:ilvl w:val="0"/>
        </w:numPr>
      </w:pPr>
      <w:hyperlink r:id="rId59">
        <w:r>
          <w:rPr>
            <w:i/>
            <w:rStyle w:val="Link"/>
          </w:rPr>
          <w:t xml:space="preserve">Davis v. Costa-Gavaras</w:t>
        </w:r>
      </w:hyperlink>
      <w:r>
        <w:t xml:space="preserve">, 654 F.Supp 653 (SDNY 1987)</w:t>
      </w:r>
      <w:r>
        <w:t xml:space="preserve"> </w:t>
      </w:r>
      <w:hyperlink r:id="rId60">
        <w:r>
          <w:rPr>
            <w:rStyle w:val="Link"/>
          </w:rPr>
          <w:t xml:space="preserve">Loyola Entertainment Law Journal Case Note</w:t>
        </w:r>
      </w:hyperlink>
      <w:r>
        <w:t xml:space="preserve">.</w:t>
      </w:r>
    </w:p>
    <w:p>
      <w:pPr>
        <w:pStyle w:val="Compact"/>
        <w:numPr>
          <w:numId w:val="1020"/>
          <w:ilvl w:val="0"/>
        </w:numPr>
      </w:pPr>
      <w:hyperlink r:id="rId192">
        <w:r>
          <w:rPr>
            <w:i/>
            <w:rStyle w:val="Link"/>
          </w:rPr>
          <w:t xml:space="preserve">Hustler v. Falwell</w:t>
        </w:r>
      </w:hyperlink>
      <w:r>
        <w:t xml:space="preserve">, 108 S.Ct. 876 (1988).</w:t>
      </w:r>
      <w:r>
        <w:t xml:space="preserve"> </w:t>
      </w:r>
      <w:hyperlink r:id="rId193">
        <w:r>
          <w:rPr>
            <w:rStyle w:val="Link"/>
          </w:rPr>
          <w:t xml:space="preserve">Wikipedia</w:t>
        </w:r>
      </w:hyperlink>
      <w:r>
        <w:t xml:space="preserve">.</w:t>
      </w:r>
    </w:p>
    <w:p>
      <w:pPr>
        <w:pStyle w:val="Compact"/>
        <w:numPr>
          <w:numId w:val="1020"/>
          <w:ilvl w:val="0"/>
        </w:numPr>
      </w:pPr>
      <w:hyperlink r:id="rId195">
        <w:r>
          <w:rPr>
            <w:i/>
            <w:rStyle w:val="Link"/>
          </w:rPr>
          <w:t xml:space="preserve">Dresbach v. Doubleday &amp; Co.</w:t>
        </w:r>
      </w:hyperlink>
      <w:r>
        <w:t xml:space="preserve">, 518 F.Supp 1285 (1981).</w:t>
      </w:r>
    </w:p>
    <w:p>
      <w:pPr>
        <w:pStyle w:val="Compact"/>
        <w:numPr>
          <w:numId w:val="1020"/>
          <w:ilvl w:val="0"/>
        </w:numPr>
      </w:pPr>
      <w:hyperlink r:id="rId196">
        <w:r>
          <w:rPr>
            <w:i/>
            <w:rStyle w:val="Link"/>
          </w:rPr>
          <w:t xml:space="preserve">Street v. NBC</w:t>
        </w:r>
      </w:hyperlink>
      <w:r>
        <w:t xml:space="preserve">, 645 F.2d 1227 (6th Cir. 1981).</w:t>
      </w:r>
    </w:p>
    <w:p>
      <w:pPr>
        <w:pStyle w:val="Heading4"/>
      </w:pPr>
      <w:bookmarkStart w:id="198" w:name="totally-optional-readings-viewings"/>
      <w:bookmarkEnd w:id="198"/>
      <w:r>
        <w:t xml:space="preserve">Totally Optional Readings &amp; Viewings</w:t>
      </w:r>
    </w:p>
    <w:p>
      <w:pPr>
        <w:pStyle w:val="Compact"/>
        <w:numPr>
          <w:numId w:val="1021"/>
          <w:ilvl w:val="0"/>
        </w:numPr>
      </w:pPr>
      <w:r>
        <w:t xml:space="preserve">Amy J. Field,</w:t>
      </w:r>
      <w:r>
        <w:t xml:space="preserve"> </w:t>
      </w:r>
      <w:hyperlink r:id="rId6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1"/>
          <w:ilvl w:val="0"/>
        </w:numPr>
      </w:pPr>
      <w:r>
        <w:rPr>
          <w:i/>
        </w:rPr>
        <w:t xml:space="preserve">Deangelo Bailey v. Marshall Bruce Mathers, III, aka Eminem Slim Shady,</w:t>
      </w:r>
      <w:r>
        <w:t xml:space="preserve"> </w:t>
      </w:r>
      <w:r>
        <w:t xml:space="preserve">Macomb County Court (Michigan 2003):</w:t>
      </w:r>
    </w:p>
    <w:p>
      <w:pPr>
        <w:pStyle w:val="Compact"/>
        <w:numPr>
          <w:numId w:val="1022"/>
          <w:ilvl w:val="1"/>
        </w:numPr>
      </w:pPr>
      <w:hyperlink r:id="rId199">
        <w:r>
          <w:rPr>
            <w:rStyle w:val="Link"/>
          </w:rPr>
          <w:t xml:space="preserve">summary of case</w:t>
        </w:r>
      </w:hyperlink>
    </w:p>
    <w:p>
      <w:pPr>
        <w:pStyle w:val="Compact"/>
        <w:numPr>
          <w:numId w:val="1022"/>
          <w:ilvl w:val="1"/>
        </w:numPr>
      </w:pPr>
      <w:hyperlink r:id="rId200">
        <w:r>
          <w:rPr>
            <w:rStyle w:val="Link"/>
          </w:rPr>
          <w:t xml:space="preserve">fyi the full opinion</w:t>
        </w:r>
      </w:hyperlink>
      <w:r>
        <w:t xml:space="preserve">(optional reading)</w:t>
      </w:r>
    </w:p>
    <w:p>
      <w:pPr>
        <w:pStyle w:val="Compact"/>
        <w:numPr>
          <w:numId w:val="1021"/>
          <w:ilvl w:val="0"/>
        </w:numPr>
      </w:pPr>
      <w:hyperlink r:id="rId201">
        <w:r>
          <w:rPr>
            <w:rStyle w:val="Link"/>
          </w:rPr>
          <w:t xml:space="preserve">Reverse defamation, the Newsweek Bitcoin story, and Satoshi Nakamoto</w:t>
        </w:r>
      </w:hyperlink>
    </w:p>
    <w:p>
      <w:pPr>
        <w:pStyle w:val="Compact"/>
        <w:numPr>
          <w:numId w:val="1021"/>
          <w:ilvl w:val="0"/>
        </w:numPr>
      </w:pPr>
      <w:hyperlink r:id="rId202">
        <w:r>
          <w:rPr>
            <w:rStyle w:val="Link"/>
          </w:rPr>
          <w:t xml:space="preserve">What is More Defamatory? A False Accusation of Homophobia or of Homosexuality?</w:t>
        </w:r>
      </w:hyperlink>
    </w:p>
    <w:p>
      <w:pPr>
        <w:pStyle w:val="Heading5"/>
      </w:pPr>
      <w:bookmarkStart w:id="203" w:name="courtney-love-defamation-via-twitter"/>
      <w:bookmarkEnd w:id="203"/>
      <w:r>
        <w:t xml:space="preserve">Courtney Love &amp; Defamation via Twitter</w:t>
      </w:r>
    </w:p>
    <w:p>
      <w:pPr>
        <w:pStyle w:val="Compact"/>
        <w:numPr>
          <w:numId w:val="1023"/>
          <w:ilvl w:val="0"/>
        </w:numPr>
      </w:pPr>
      <w:hyperlink r:id="rId204">
        <w:r>
          <w:rPr>
            <w:rStyle w:val="Link"/>
          </w:rPr>
          <w:t xml:space="preserve">Courtney Love commits defamation via Twitter--Twice!</w:t>
        </w:r>
      </w:hyperlink>
    </w:p>
    <w:p>
      <w:pPr>
        <w:pStyle w:val="Compact"/>
        <w:numPr>
          <w:numId w:val="1023"/>
          <w:ilvl w:val="0"/>
        </w:numPr>
      </w:pPr>
      <w:hyperlink r:id="rId205">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206" w:name="who-are-the-news-media"/>
      <w:bookmarkEnd w:id="206"/>
      <w:r>
        <w:t xml:space="preserve">Who Are "The News Media?"</w:t>
      </w:r>
    </w:p>
    <w:p>
      <w:r>
        <w:t xml:space="preserve">Blurred lines: Ninth Circuit applies same First Amendment protections to bloggers as traditional media.</w:t>
      </w:r>
      <w:r>
        <w:t xml:space="preserve"> </w:t>
      </w:r>
      <w:hyperlink r:id="rId207">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e3a1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27e9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cc36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6d822c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189" Target="http://en.wikipedia.org/wiki/False_light#Examples"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3"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3"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191" Target="http://en.wikipedia.org/wiki/Time,_Inc._v._Hill"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2"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197" Target="http://lawschool.westlaw.com/shared/westlawRedirect.aspx?task=find&amp;cite=233+NE.2d+84&amp;appflag=67.12" TargetMode="External" /><Relationship Type="http://schemas.openxmlformats.org/officeDocument/2006/relationships/hyperlink" Id="rId188" Target="http://lawschool.westlaw.com/shared/westlawRedirect.aspx?task=find&amp;cite=233+NE.2d+840&amp;appflag=67.12" TargetMode="External" /><Relationship Type="http://schemas.openxmlformats.org/officeDocument/2006/relationships/hyperlink" Id="rId164"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190" Target="http://lawschool.westlaw.com/shared/westlawRedirect.aspx?task=find&amp;cite=385us374&amp;appflag=67.12" TargetMode="External" /><Relationship Type="http://schemas.openxmlformats.org/officeDocument/2006/relationships/hyperlink" Id="rId195" Target="http://lawschool.westlaw.com/shared/westlawRedirect.aspx?task=find&amp;cite=518+F.Supp+1285&amp;appflag=67.12" TargetMode="External" /><Relationship Type="http://schemas.openxmlformats.org/officeDocument/2006/relationships/hyperlink" Id="rId196" Target="http://lawschool.westlaw.com/shared/westlawRedirect.aspx?task=find&amp;cite=645+F.2d+1227&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3" Target="http://scholar.google.com/scholar_case?about=16196949732337435619&amp;q=street+v.+national+broadcasting+co&amp;hl=en&amp;as_sdt=6,28&amp;scilh=0" TargetMode="External" /><Relationship Type="http://schemas.openxmlformats.org/officeDocument/2006/relationships/hyperlink" Id="rId185"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2"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0"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1" Target="http://scholar.google.com/scholar_case?case=14047302044250172971" TargetMode="External" /><Relationship Type="http://schemas.openxmlformats.org/officeDocument/2006/relationships/hyperlink" Id="rId182"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4"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4"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2"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76"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3"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79" Target="http://scholar.google.com/scholar_case?case=7102507483896624202&amp;q=street+v.+national+broadcasting+co&amp;hl=en&amp;as_sdt=6,28&amp;scilh=0"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69"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04"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05" Target="http://www.hollywoodreporter.com/thr-esq/courtney-love-wins-twitter-defamation-673972"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07"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99" Target="http://www.thesmokinggun.com/documents/crime/judge-raps-eminem-accuser" TargetMode="External" /><Relationship Type="http://schemas.openxmlformats.org/officeDocument/2006/relationships/hyperlink" Id="rId200" Target="http://www.thesmokinggun.com/file/judge-raps-eminem-accuser" TargetMode="External" /><Relationship Type="http://schemas.openxmlformats.org/officeDocument/2006/relationships/hyperlink" Id="rId202" Target="http://www.trademarkandcopyrightlawblog.com/2014/09/whatismore/" TargetMode="External" /><Relationship Type="http://schemas.openxmlformats.org/officeDocument/2006/relationships/hyperlink" Id="rId201" Target="http://www.washingtonpost.com/news/volokh-conspiracy/wp/2014/03/18/reverse-defamation-the-newsweek-bitcoin-story-and-satoshi-nakamoto/" TargetMode="External" /><Relationship Type="http://schemas.openxmlformats.org/officeDocument/2006/relationships/hyperlink" Id="rId194" Target="https://www.youtube.com/watch?v=WNRkDImrODg" TargetMode="External" /></Relationships>
</file>

<file path=word/_rels/footnotes.xml.rels><?xml version="1.0" encoding="UTF-8"?>
<Relationships xmlns="http://schemas.openxmlformats.org/package/2006/relationships"><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189" Target="http://en.wikipedia.org/wiki/False_light#Examples"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3"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3"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191" Target="http://en.wikipedia.org/wiki/Time,_Inc._v._Hill"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2"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197" Target="http://lawschool.westlaw.com/shared/westlawRedirect.aspx?task=find&amp;cite=233+NE.2d+84&amp;appflag=67.12" TargetMode="External" /><Relationship Type="http://schemas.openxmlformats.org/officeDocument/2006/relationships/hyperlink" Id="rId188" Target="http://lawschool.westlaw.com/shared/westlawRedirect.aspx?task=find&amp;cite=233+NE.2d+840&amp;appflag=67.12" TargetMode="External" /><Relationship Type="http://schemas.openxmlformats.org/officeDocument/2006/relationships/hyperlink" Id="rId164"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190" Target="http://lawschool.westlaw.com/shared/westlawRedirect.aspx?task=find&amp;cite=385us374&amp;appflag=67.12" TargetMode="External" /><Relationship Type="http://schemas.openxmlformats.org/officeDocument/2006/relationships/hyperlink" Id="rId195" Target="http://lawschool.westlaw.com/shared/westlawRedirect.aspx?task=find&amp;cite=518+F.Supp+1285&amp;appflag=67.12" TargetMode="External" /><Relationship Type="http://schemas.openxmlformats.org/officeDocument/2006/relationships/hyperlink" Id="rId196" Target="http://lawschool.westlaw.com/shared/westlawRedirect.aspx?task=find&amp;cite=645+F.2d+1227&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3" Target="http://scholar.google.com/scholar_case?about=16196949732337435619&amp;q=street+v.+national+broadcasting+co&amp;hl=en&amp;as_sdt=6,28&amp;scilh=0" TargetMode="External" /><Relationship Type="http://schemas.openxmlformats.org/officeDocument/2006/relationships/hyperlink" Id="rId185"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2"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0"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1" Target="http://scholar.google.com/scholar_case?case=14047302044250172971" TargetMode="External" /><Relationship Type="http://schemas.openxmlformats.org/officeDocument/2006/relationships/hyperlink" Id="rId182"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4"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4"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2"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76"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3"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79" Target="http://scholar.google.com/scholar_case?case=7102507483896624202&amp;q=street+v.+national+broadcasting+co&amp;hl=en&amp;as_sdt=6,28&amp;scilh=0"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69"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04"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05" Target="http://www.hollywoodreporter.com/thr-esq/courtney-love-wins-twitter-defamation-673972"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07"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99" Target="http://www.thesmokinggun.com/documents/crime/judge-raps-eminem-accuser" TargetMode="External" /><Relationship Type="http://schemas.openxmlformats.org/officeDocument/2006/relationships/hyperlink" Id="rId200" Target="http://www.thesmokinggun.com/file/judge-raps-eminem-accuser" TargetMode="External" /><Relationship Type="http://schemas.openxmlformats.org/officeDocument/2006/relationships/hyperlink" Id="rId202" Target="http://www.trademarkandcopyrightlawblog.com/2014/09/whatismore/" TargetMode="External" /><Relationship Type="http://schemas.openxmlformats.org/officeDocument/2006/relationships/hyperlink" Id="rId201" Target="http://www.washingtonpost.com/news/volokh-conspiracy/wp/2014/03/18/reverse-defamation-the-newsweek-bitcoin-story-and-satoshi-nakamoto/" TargetMode="External" /><Relationship Type="http://schemas.openxmlformats.org/officeDocument/2006/relationships/hyperlink" Id="rId194" Target="https://www.youtube.com/watch?v=WNRkDImrOD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