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Authors"/>
      </w:pPr>
      <w:r>
        <w:t xml:space="preserve">Richard</w:t>
      </w:r>
      <w:r>
        <w:t xml:space="preserve"> </w:t>
      </w:r>
      <w:r>
        <w:t xml:space="preserve">Dooling</w:t>
      </w:r>
    </w:p>
    <w:p>
      <w:pPr>
        <w:pStyle w:val="Date"/>
      </w:pPr>
      <w:r>
        <w:t xml:space="preserve">24</w:t>
      </w:r>
      <w:r>
        <w:t xml:space="preserve"> </w:t>
      </w:r>
      <w:r>
        <w:t xml:space="preserve">August</w:t>
      </w:r>
      <w:r>
        <w:t xml:space="preserve"> </w:t>
      </w:r>
      <w:r>
        <w:t xml:space="preserve">2014</w:t>
      </w:r>
    </w:p>
    <w:bookmarkStart w:id="21" w:name="lawyers-for-the-talent"/>
    <w:p>
      <w:pPr>
        <w:pStyle w:val="Heading1"/>
      </w:pPr>
      <w:r>
        <w:t xml:space="preserve">Lawyers For The Talent</w:t>
      </w:r>
    </w:p>
    <w:bookmarkEnd w:id="21"/>
    <w:bookmarkStart w:id="22" w:name="by-richard-dooling"/>
    <w:p>
      <w:pPr>
        <w:pStyle w:val="Heading6"/>
      </w:pPr>
      <w:r>
        <w:t xml:space="preserve">by Richard Dooling</w:t>
      </w:r>
    </w:p>
    <w:bookmarkEnd w:id="22"/>
    <w:bookmarkStart w:id="23" w:name="first-amendment---sex"/>
    <w:p>
      <w:pPr>
        <w:pStyle w:val="Heading2"/>
      </w:pPr>
      <w:r>
        <w:t xml:space="preserve">First Amendment - Sex</w:t>
      </w:r>
    </w:p>
    <w:bookmarkEnd w:id="23"/>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bookmarkStart w:id="25" w:name="what-is-speech"/>
    <w:p>
      <w:pPr>
        <w:pStyle w:val="Heading3"/>
      </w:pPr>
      <w:r>
        <w:t xml:space="preserve">What Is Speech?</w:t>
      </w:r>
    </w:p>
    <w:bookmarkEnd w:id="25"/>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bookmarkStart w:id="26" w:name="what-is-the-purpose-of-the-first-amendment"/>
    <w:p>
      <w:pPr>
        <w:pStyle w:val="Heading3"/>
      </w:pPr>
      <w:r>
        <w:t xml:space="preserve">What is the Purpose of the First Amendment?</w:t>
      </w:r>
    </w:p>
    <w:bookmarkEnd w:id="26"/>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1789? And if Congress meant what it said about passing no laws abridging the freedom of speech, why in 1798, less than ten years later,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bookmarkStart w:id="31" w:name="the-marketplace-of-ideas"/>
    <w:p>
      <w:pPr>
        <w:pStyle w:val="Heading4"/>
      </w:pPr>
      <w:r>
        <w:t xml:space="preserve">The Marketplace of Ideas</w:t>
      </w:r>
    </w:p>
    <w:bookmarkEnd w:id="31"/>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bookmarkStart w:id="33" w:name="civic-republicanism"/>
    <w:p>
      <w:pPr>
        <w:pStyle w:val="Heading4"/>
      </w:pPr>
      <w:r>
        <w:t xml:space="preserve">Civic Republicanism</w:t>
      </w:r>
    </w:p>
    <w:bookmarkEnd w:id="33"/>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 all 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bookmarkStart w:id="34" w:name="are-movies-speech"/>
    <w:p>
      <w:pPr>
        <w:pStyle w:val="Heading2"/>
      </w:pPr>
      <w:r>
        <w:t xml:space="preserve">Are Movies Speech?</w:t>
      </w:r>
    </w:p>
    <w:bookmarkEnd w:id="34"/>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bookmarkStart w:id="35" w:name="mutual-film-corp.-v.-industrial-commission-of-ohio"/>
    <w:p>
      <w:pPr>
        <w:pStyle w:val="Heading3"/>
      </w:pPr>
      <w:r>
        <w:rPr>
          <w:i/>
        </w:rPr>
        <w:t xml:space="preserve">Mutual Film Corp. v. Industrial Commission of Ohio</w:t>
      </w:r>
    </w:p>
    <w:bookmarkEnd w:id="35"/>
    <w:bookmarkStart w:id="36" w:name="u.s.-supreme-court-1915"/>
    <w:p>
      <w:pPr>
        <w:pStyle w:val="Heading6"/>
      </w:pPr>
      <w:r>
        <w:t xml:space="preserve">U.S. Supreme Court (1915)</w:t>
      </w:r>
    </w:p>
    <w:bookmarkEnd w:id="36"/>
    <w:p>
      <w:pPr>
        <w:pStyle w:val="Compact"/>
        <w:numPr>
          <w:numId w:val="2"/>
          <w:ilvl w:val="0"/>
        </w:numPr>
      </w:pPr>
      <w:hyperlink r:id="rId37">
        <w:r>
          <w:rPr>
            <w:rStyle w:val="Link"/>
          </w:rPr>
          <w:t xml:space="preserve">case at Google Scholar</w:t>
        </w:r>
      </w:hyperlink>
    </w:p>
    <w:p>
      <w:pPr>
        <w:pStyle w:val="Compact"/>
        <w:numPr>
          <w:numId w:val="2"/>
          <w:ilvl w:val="0"/>
        </w:numPr>
      </w:pPr>
      <w:hyperlink r:id="rId38">
        <w:r>
          <w:rPr>
            <w:rStyle w:val="Link"/>
          </w:rPr>
          <w:t xml:space="preserve">case on Westlaw</w:t>
        </w:r>
      </w:hyperlink>
    </w:p>
    <w:p>
      <w:pPr>
        <w:pStyle w:val="Compact"/>
        <w:numPr>
          <w:numId w:val="2"/>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bookmarkStart w:id="40" w:name="the-hays-code"/>
    <w:p>
      <w:pPr>
        <w:pStyle w:val="Heading4"/>
      </w:pPr>
      <w:r>
        <w:t xml:space="preserve">The Hays Code</w:t>
      </w:r>
    </w:p>
    <w:bookmarkEnd w:id="40"/>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3"/>
          <w:ilvl w:val="0"/>
        </w:numPr>
      </w:pPr>
      <w:r>
        <w:t xml:space="preserve">Correct standards of life, subject only to the requirements of drama and entertainment, shall be presented.</w:t>
      </w:r>
    </w:p>
    <w:p>
      <w:pPr>
        <w:pStyle w:val="Compact"/>
        <w:numPr>
          <w:numId w:val="3"/>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bookmarkStart w:id="42" w:name="joseph-burstyn-inc.-v.-wilson"/>
    <w:p>
      <w:pPr>
        <w:pStyle w:val="Heading3"/>
      </w:pPr>
      <w:r>
        <w:rPr>
          <w:i/>
        </w:rPr>
        <w:t xml:space="preserve">Joseph Burstyn, Inc. v. Wilson</w:t>
      </w:r>
    </w:p>
    <w:bookmarkEnd w:id="42"/>
    <w:bookmarkStart w:id="43" w:name="u.s.-supreme-court-1952"/>
    <w:p>
      <w:pPr>
        <w:pStyle w:val="Heading6"/>
      </w:pPr>
      <w:r>
        <w:t xml:space="preserve">U.S. Supreme Court (1952)</w:t>
      </w:r>
    </w:p>
    <w:bookmarkEnd w:id="43"/>
    <w:p>
      <w:pPr>
        <w:pStyle w:val="Compact"/>
        <w:numPr>
          <w:numId w:val="4"/>
          <w:ilvl w:val="0"/>
        </w:numPr>
      </w:pPr>
      <w:hyperlink r:id="rId44">
        <w:r>
          <w:rPr>
            <w:rStyle w:val="Link"/>
          </w:rPr>
          <w:t xml:space="preserve">case at Google Scholar</w:t>
        </w:r>
      </w:hyperlink>
    </w:p>
    <w:p>
      <w:pPr>
        <w:pStyle w:val="Compact"/>
        <w:numPr>
          <w:numId w:val="4"/>
          <w:ilvl w:val="0"/>
        </w:numPr>
      </w:pPr>
      <w:hyperlink r:id="rId45">
        <w:r>
          <w:rPr>
            <w:rStyle w:val="Link"/>
          </w:rPr>
          <w:t xml:space="preserve">how cited at Google Scholar</w:t>
        </w:r>
      </w:hyperlink>
    </w:p>
    <w:p>
      <w:pPr>
        <w:pStyle w:val="Compact"/>
        <w:numPr>
          <w:numId w:val="4"/>
          <w:ilvl w:val="0"/>
        </w:numPr>
      </w:pPr>
      <w:hyperlink r:id="rId46">
        <w:r>
          <w:rPr>
            <w:rStyle w:val="Link"/>
          </w:rPr>
          <w:t xml:space="preserve">case at Westlaw</w:t>
        </w:r>
      </w:hyperlink>
    </w:p>
    <w:p>
      <w:pPr>
        <w:pStyle w:val="Compact"/>
        <w:numPr>
          <w:numId w:val="4"/>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bookmarkStart w:id="48" w:name="excerpts-from-the-burstyn-opinion"/>
    <w:p>
      <w:pPr>
        <w:pStyle w:val="Heading4"/>
      </w:pPr>
      <w:r>
        <w:t xml:space="preserve">Excerpts from the</w:t>
      </w:r>
      <w:r>
        <w:t xml:space="preserve"> </w:t>
      </w:r>
      <w:r>
        <w:rPr>
          <w:i/>
        </w:rPr>
        <w:t xml:space="preserve">Burstyn</w:t>
      </w:r>
      <w:r>
        <w:t xml:space="preserve"> </w:t>
      </w:r>
      <w:r>
        <w:t xml:space="preserve">opinion:</w:t>
      </w:r>
    </w:p>
    <w:bookmarkEnd w:id="48"/>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bookmarkStart w:id="54" w:name="categories-of-unprotected-speech"/>
    <w:p>
      <w:pPr>
        <w:pStyle w:val="Heading3"/>
      </w:pPr>
      <w:r>
        <w:t xml:space="preserve">Categories of Unprotected Speech</w:t>
      </w:r>
    </w:p>
    <w:bookmarkEnd w:id="54"/>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bookmarkStart w:id="55" w:name="chaplinsky-v.-new-hampshire"/>
    <w:p>
      <w:pPr>
        <w:pStyle w:val="Heading3"/>
      </w:pPr>
      <w:r>
        <w:rPr>
          <w:i/>
        </w:rPr>
        <w:t xml:space="preserve">Chaplinsky v. New Hampshire</w:t>
      </w:r>
    </w:p>
    <w:bookmarkEnd w:id="55"/>
    <w:bookmarkStart w:id="56" w:name="u.s.-supreme-court-1942"/>
    <w:p>
      <w:pPr>
        <w:pStyle w:val="Heading6"/>
      </w:pPr>
      <w:r>
        <w:t xml:space="preserve">U.S. Supreme Court (1942)</w:t>
      </w:r>
    </w:p>
    <w:bookmarkEnd w:id="56"/>
    <w:p>
      <w:pPr>
        <w:pStyle w:val="Compact"/>
        <w:numPr>
          <w:numId w:val="5"/>
          <w:ilvl w:val="0"/>
        </w:numPr>
      </w:pPr>
      <w:hyperlink r:id="rId57">
        <w:r>
          <w:rPr>
            <w:rStyle w:val="Link"/>
          </w:rPr>
          <w:t xml:space="preserve">case at Westlaw</w:t>
        </w:r>
      </w:hyperlink>
      <w:r>
        <w:t xml:space="preserve">.</w:t>
      </w:r>
    </w:p>
    <w:p>
      <w:pPr>
        <w:pStyle w:val="Compact"/>
        <w:numPr>
          <w:numId w:val="5"/>
          <w:ilvl w:val="0"/>
        </w:numPr>
      </w:pPr>
      <w:hyperlink r:id="rId58">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bookmarkStart w:id="59" w:name="unprotected-speech"/>
    <w:p>
      <w:pPr>
        <w:pStyle w:val="Heading2"/>
      </w:pPr>
      <w:r>
        <w:t xml:space="preserve">Unprotected Speech</w:t>
      </w:r>
    </w:p>
    <w:bookmarkEnd w:id="59"/>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0">
        <w:r>
          <w:rPr>
            <w:rStyle w:val="Link"/>
          </w:rPr>
          <w:t xml:space="preserve">stolen valor speech</w:t>
        </w:r>
      </w:hyperlink>
      <w:r>
        <w:t xml:space="preserve">, or</w:t>
      </w:r>
      <w:r>
        <w:t xml:space="preserve"> </w:t>
      </w:r>
      <w:hyperlink r:id="rId61">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2">
        <w:r>
          <w:rPr>
            <w:rStyle w:val="Link"/>
          </w:rPr>
          <w:t xml:space="preserve">Free Speech By Country</w:t>
        </w:r>
      </w:hyperlink>
      <w:r>
        <w:t xml:space="preserve">. Canadian courts have held that pornography which is "degrading or dehumanizing" to women may be prohibited (see</w:t>
      </w:r>
      <w:r>
        <w:t xml:space="preserve"> </w:t>
      </w:r>
      <w:hyperlink r:id="rId63">
        <w:r>
          <w:rPr>
            <w:rStyle w:val="Link"/>
          </w:rPr>
          <w:t xml:space="preserve">R. v. Butler</w:t>
        </w:r>
      </w:hyperlink>
      <w:r>
        <w:t xml:space="preserve"> </w:t>
      </w:r>
      <w:r>
        <w:t xml:space="preserve">an analysis explicitly rejected by Judge Frank Easterbrook in</w:t>
      </w:r>
      <w:r>
        <w:t xml:space="preserve"> </w:t>
      </w: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Compact"/>
        <w:numPr>
          <w:numId w:val="6"/>
          <w:ilvl w:val="0"/>
        </w:numPr>
      </w:pPr>
      <w:hyperlink r:id="rId66">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7">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8">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bookmarkStart w:id="69" w:name="skyywalker-records-inc.-v.-navarro"/>
    <w:p>
      <w:pPr>
        <w:pStyle w:val="Heading3"/>
      </w:pPr>
      <w:r>
        <w:rPr>
          <w:i/>
        </w:rPr>
        <w:t xml:space="preserve">Skyywalker Records, Inc. v. Navarro</w:t>
      </w:r>
    </w:p>
    <w:bookmarkEnd w:id="69"/>
    <w:bookmarkStart w:id="70" w:name="federal-dist.-court-sd-florida-1990"/>
    <w:p>
      <w:pPr>
        <w:pStyle w:val="Heading6"/>
      </w:pPr>
      <w:r>
        <w:t xml:space="preserve">Federal Dist. Court, SD Florida (1990)</w:t>
      </w:r>
    </w:p>
    <w:bookmarkEnd w:id="70"/>
    <w:p>
      <w:pPr>
        <w:pStyle w:val="Compact"/>
        <w:numPr>
          <w:numId w:val="7"/>
          <w:ilvl w:val="0"/>
        </w:numPr>
      </w:pPr>
      <w:hyperlink r:id="rId71">
        <w:r>
          <w:rPr>
            <w:rStyle w:val="Link"/>
          </w:rPr>
          <w:t xml:space="preserve">case at Google Scholar</w:t>
        </w:r>
      </w:hyperlink>
    </w:p>
    <w:p>
      <w:pPr>
        <w:pStyle w:val="Compact"/>
        <w:numPr>
          <w:numId w:val="7"/>
          <w:ilvl w:val="0"/>
        </w:numPr>
      </w:pPr>
      <w:hyperlink r:id="rId72">
        <w:r>
          <w:rPr>
            <w:rStyle w:val="Link"/>
          </w:rPr>
          <w:t xml:space="preserve">how cited at Google Scholar</w:t>
        </w:r>
      </w:hyperlink>
    </w:p>
    <w:p>
      <w:pPr>
        <w:pStyle w:val="Compact"/>
        <w:numPr>
          <w:numId w:val="7"/>
          <w:ilvl w:val="0"/>
        </w:numPr>
      </w:pPr>
      <w:hyperlink r:id="rId73">
        <w:r>
          <w:rPr>
            <w:rStyle w:val="Link"/>
          </w:rPr>
          <w:t xml:space="preserve">case at Westlaw</w:t>
        </w:r>
      </w:hyperlink>
    </w:p>
    <w:p>
      <w:pPr>
        <w:pStyle w:val="Compact"/>
        <w:numPr>
          <w:numId w:val="7"/>
          <w:ilvl w:val="0"/>
        </w:numPr>
      </w:pPr>
      <w:hyperlink r:id="rId74">
        <w:r>
          <w:rPr>
            <w:rStyle w:val="Link"/>
          </w:rPr>
          <w:t xml:space="preserve">case at Wikipedia</w:t>
        </w:r>
      </w:hyperlink>
    </w:p>
    <w:p>
      <w:pPr>
        <w:pStyle w:val="Compact"/>
        <w:numPr>
          <w:numId w:val="7"/>
          <w:ilvl w:val="0"/>
        </w:numPr>
      </w:pPr>
      <w:hyperlink r:id="rId75">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bookmarkStart w:id="76" w:name="child-pornography"/>
    <w:p>
      <w:pPr>
        <w:pStyle w:val="Heading2"/>
      </w:pPr>
      <w:r>
        <w:t xml:space="preserve">Child Pornography</w:t>
      </w:r>
    </w:p>
    <w:bookmarkEnd w:id="76"/>
    <w:p>
      <w:r>
        <w:t xml:space="preserve">In</w:t>
      </w:r>
      <w:r>
        <w:t xml:space="preserve"> </w:t>
      </w:r>
      <w:hyperlink r:id="rId77">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bookmarkStart w:id="78" w:name="ashcroft-v.-free-speech-coalition"/>
    <w:p>
      <w:pPr>
        <w:pStyle w:val="Heading3"/>
      </w:pPr>
      <w:r>
        <w:rPr>
          <w:i/>
        </w:rPr>
        <w:t xml:space="preserve">Ashcroft v. Free Speech Coalition</w:t>
      </w:r>
    </w:p>
    <w:bookmarkEnd w:id="78"/>
    <w:bookmarkStart w:id="79" w:name="u.s.-supreme-court-2002"/>
    <w:p>
      <w:pPr>
        <w:pStyle w:val="Heading6"/>
      </w:pPr>
      <w:r>
        <w:t xml:space="preserve">U.S. Supreme Court (2002)</w:t>
      </w:r>
    </w:p>
    <w:bookmarkEnd w:id="79"/>
    <w:p>
      <w:pPr>
        <w:pStyle w:val="Compact"/>
        <w:numPr>
          <w:numId w:val="8"/>
          <w:ilvl w:val="0"/>
        </w:numPr>
      </w:pPr>
      <w:hyperlink r:id="rId44">
        <w:r>
          <w:rPr>
            <w:rStyle w:val="Link"/>
          </w:rPr>
          <w:t xml:space="preserve">case at Google Scholar</w:t>
        </w:r>
      </w:hyperlink>
    </w:p>
    <w:p>
      <w:pPr>
        <w:pStyle w:val="Compact"/>
        <w:numPr>
          <w:numId w:val="8"/>
          <w:ilvl w:val="0"/>
        </w:numPr>
      </w:pPr>
      <w:hyperlink r:id="rId80">
        <w:r>
          <w:rPr>
            <w:rStyle w:val="Link"/>
          </w:rPr>
          <w:t xml:space="preserve">how cited at Google Scholar</w:t>
        </w:r>
      </w:hyperlink>
    </w:p>
    <w:p>
      <w:pPr>
        <w:pStyle w:val="Compact"/>
        <w:numPr>
          <w:numId w:val="8"/>
          <w:ilvl w:val="0"/>
        </w:numPr>
      </w:pPr>
      <w:hyperlink r:id="rId81">
        <w:r>
          <w:rPr>
            <w:rStyle w:val="Link"/>
          </w:rPr>
          <w:t xml:space="preserve">case at Westlaw</w:t>
        </w:r>
      </w:hyperlink>
      <w:r>
        <w:t xml:space="preserve">.</w:t>
      </w:r>
    </w:p>
    <w:p>
      <w:pPr>
        <w:pStyle w:val="Compact"/>
        <w:numPr>
          <w:numId w:val="8"/>
          <w:ilvl w:val="0"/>
        </w:numPr>
      </w:pPr>
      <w:hyperlink r:id="rId82">
        <w:r>
          <w:rPr>
            <w:rStyle w:val="Link"/>
          </w:rPr>
          <w:t xml:space="preserve">case at Wikipedia</w:t>
        </w:r>
      </w:hyperlink>
    </w:p>
    <w:p>
      <w:r>
        <w:t xml:space="preserve">Justice Kennedy, delivered the opinion of the Court.</w:t>
      </w:r>
    </w:p>
    <w:bookmarkStart w:id="83" w:name="excerpts-from-the-ashcroft-opinion"/>
    <w:p>
      <w:pPr>
        <w:pStyle w:val="Heading4"/>
      </w:pPr>
      <w:r>
        <w:t xml:space="preserve">Excerpts from the</w:t>
      </w:r>
      <w:r>
        <w:t xml:space="preserve"> </w:t>
      </w:r>
      <w:r>
        <w:rPr>
          <w:i/>
        </w:rPr>
        <w:t xml:space="preserve">Ashcroft</w:t>
      </w:r>
      <w:r>
        <w:t xml:space="preserve"> </w:t>
      </w:r>
      <w:r>
        <w:t xml:space="preserve">opinion:</w:t>
      </w:r>
    </w:p>
    <w:bookmarkEnd w:id="83"/>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4">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bookmarkStart w:id="86" w:name="i"/>
    <w:p>
      <w:pPr>
        <w:pStyle w:val="Heading4"/>
      </w:pPr>
      <w:r>
        <w:t xml:space="preserve">I</w:t>
      </w:r>
    </w:p>
    <w:bookmarkEnd w:id="86"/>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7">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7">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bookmarkStart w:id="88" w:name="ii"/>
    <w:p>
      <w:pPr>
        <w:pStyle w:val="Heading4"/>
      </w:pPr>
      <w:r>
        <w:t xml:space="preserve">II</w:t>
      </w:r>
    </w:p>
    <w:bookmarkEnd w:id="88"/>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89">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0">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1">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3">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4">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7">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98">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7">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99">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0">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0">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1">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4">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4">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bookmarkStart w:id="102" w:name="iii"/>
    <w:p>
      <w:pPr>
        <w:pStyle w:val="Heading4"/>
      </w:pPr>
      <w:r>
        <w:t xml:space="preserve">III</w:t>
      </w:r>
    </w:p>
    <w:bookmarkEnd w:id="102"/>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3">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4">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6">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6">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3">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7">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08">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09">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1">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7">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0">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4">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1">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2">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2">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3">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2">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bookmarkStart w:id="114" w:name="indecency"/>
    <w:p>
      <w:pPr>
        <w:pStyle w:val="Heading2"/>
      </w:pPr>
      <w:r>
        <w:t xml:space="preserve">Indecency</w:t>
      </w:r>
    </w:p>
    <w:bookmarkEnd w:id="114"/>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bookmarkStart w:id="115" w:name="fcc-v.-pacifica-foundation"/>
    <w:p>
      <w:pPr>
        <w:pStyle w:val="Heading3"/>
      </w:pPr>
      <w:r>
        <w:rPr>
          <w:i/>
        </w:rPr>
        <w:t xml:space="preserve">FCC v. Pacifica Foundation</w:t>
      </w:r>
    </w:p>
    <w:bookmarkEnd w:id="115"/>
    <w:bookmarkStart w:id="116" w:name="u.s.-supreme-court-1978"/>
    <w:p>
      <w:pPr>
        <w:pStyle w:val="Heading6"/>
      </w:pPr>
      <w:r>
        <w:t xml:space="preserve">U.S. Supreme Court (1978)</w:t>
      </w:r>
    </w:p>
    <w:bookmarkEnd w:id="116"/>
    <w:p>
      <w:pPr>
        <w:pStyle w:val="Compact"/>
        <w:numPr>
          <w:numId w:val="9"/>
          <w:ilvl w:val="0"/>
        </w:numPr>
      </w:pPr>
      <w:hyperlink r:id="rId117">
        <w:r>
          <w:rPr>
            <w:rStyle w:val="Link"/>
          </w:rPr>
          <w:t xml:space="preserve">case at Google Scholar</w:t>
        </w:r>
      </w:hyperlink>
    </w:p>
    <w:p>
      <w:pPr>
        <w:pStyle w:val="Compact"/>
        <w:numPr>
          <w:numId w:val="9"/>
          <w:ilvl w:val="0"/>
        </w:numPr>
      </w:pPr>
      <w:hyperlink r:id="rId118">
        <w:r>
          <w:rPr>
            <w:rStyle w:val="Link"/>
          </w:rPr>
          <w:t xml:space="preserve">how cited at Google Scholar</w:t>
        </w:r>
      </w:hyperlink>
    </w:p>
    <w:p>
      <w:pPr>
        <w:pStyle w:val="Compact"/>
        <w:numPr>
          <w:numId w:val="9"/>
          <w:ilvl w:val="0"/>
        </w:numPr>
      </w:pPr>
      <w:hyperlink r:id="rId119">
        <w:r>
          <w:rPr>
            <w:rStyle w:val="Link"/>
          </w:rPr>
          <w:t xml:space="preserve">case at Westlaw</w:t>
        </w:r>
      </w:hyperlink>
    </w:p>
    <w:p>
      <w:pPr>
        <w:pStyle w:val="Compact"/>
        <w:numPr>
          <w:numId w:val="9"/>
          <w:ilvl w:val="0"/>
        </w:numPr>
      </w:pPr>
      <w:r>
        <w:t xml:space="preserve">George Carlin's</w:t>
      </w:r>
      <w:r>
        <w:t xml:space="preserve"> </w:t>
      </w:r>
      <w:hyperlink r:id="rId120">
        <w:r>
          <w:rPr>
            <w:rStyle w:val="Link"/>
          </w:rPr>
          <w:t xml:space="preserve">Seven Dirty Words</w:t>
        </w:r>
      </w:hyperlink>
      <w:r>
        <w:t xml:space="preserve"> </w:t>
      </w:r>
      <w:r>
        <w:t xml:space="preserve">routine.</w:t>
      </w:r>
    </w:p>
    <w:bookmarkStart w:id="121" w:name="fcc-v.-fox-television-stations-fox-ii"/>
    <w:p>
      <w:pPr>
        <w:pStyle w:val="Heading3"/>
      </w:pPr>
      <w:r>
        <w:rPr>
          <w:i/>
        </w:rPr>
        <w:t xml:space="preserve">FCC v. Fox Television Stations</w:t>
      </w:r>
      <w:r>
        <w:t xml:space="preserve"> </w:t>
      </w:r>
      <w:r>
        <w:t xml:space="preserve">(Fox II)</w:t>
      </w:r>
    </w:p>
    <w:bookmarkEnd w:id="121"/>
    <w:p>
      <w:pPr>
        <w:pStyle w:val="Compact"/>
        <w:numPr>
          <w:numId w:val="10"/>
          <w:ilvl w:val="0"/>
        </w:numPr>
      </w:pPr>
      <w:hyperlink r:id="rId122">
        <w:r>
          <w:rPr>
            <w:rStyle w:val="Link"/>
          </w:rPr>
          <w:t xml:space="preserve">case at Google Scholar</w:t>
        </w:r>
      </w:hyperlink>
    </w:p>
    <w:p>
      <w:pPr>
        <w:pStyle w:val="Compact"/>
        <w:numPr>
          <w:numId w:val="10"/>
          <w:ilvl w:val="0"/>
        </w:numPr>
      </w:pPr>
      <w:hyperlink r:id="rId123">
        <w:r>
          <w:rPr>
            <w:rStyle w:val="Link"/>
          </w:rPr>
          <w:t xml:space="preserve">case at Westlaw</w:t>
        </w:r>
      </w:hyperlink>
    </w:p>
    <w:p>
      <w:pPr>
        <w:pStyle w:val="Compact"/>
        <w:numPr>
          <w:numId w:val="10"/>
          <w:ilvl w:val="0"/>
        </w:numPr>
      </w:pPr>
      <w:hyperlink r:id="rId124">
        <w:r>
          <w:rPr>
            <w:rStyle w:val="Link"/>
          </w:rPr>
          <w:t xml:space="preserve">case at Wikipedia</w:t>
        </w:r>
      </w:hyperlink>
      <w:r>
        <w:t xml:space="preserve">.</w:t>
      </w:r>
    </w:p>
    <w:bookmarkStart w:id="125" w:name="totally-optional-reading"/>
    <w:p>
      <w:pPr>
        <w:pStyle w:val="Heading4"/>
      </w:pPr>
      <w:r>
        <w:t xml:space="preserve">Totally Optional Reading</w:t>
      </w:r>
    </w:p>
    <w:bookmarkEnd w:id="125"/>
    <w:p>
      <w:pPr>
        <w:pStyle w:val="Compact"/>
        <w:numPr>
          <w:numId w:val="11"/>
          <w:ilvl w:val="0"/>
        </w:numPr>
      </w:pPr>
      <w:hyperlink r:id="rId126">
        <w:r>
          <w:rPr>
            <w:rStyle w:val="Link"/>
          </w:rPr>
          <w:t xml:space="preserve">Eugene Volokh on the meaning of "Congress shall make no law . . ."</w:t>
        </w:r>
      </w:hyperlink>
      <w:r>
        <w:t xml:space="preserve">. If the the tiny print bothers you, try</w:t>
      </w:r>
      <w:r>
        <w:t xml:space="preserve"> </w:t>
      </w:r>
      <w:hyperlink r:id="rId127">
        <w:r>
          <w:rPr>
            <w:rStyle w:val="Link"/>
          </w:rPr>
          <w:t xml:space="preserve">Readability.</w:t>
        </w:r>
      </w:hyperlink>
    </w:p>
    <w:p>
      <w:pPr>
        <w:pStyle w:val="Compact"/>
        <w:numPr>
          <w:numId w:val="11"/>
          <w:ilvl w:val="0"/>
        </w:numPr>
      </w:pPr>
      <w:hyperlink r:id="rId128">
        <w:r>
          <w:rPr>
            <w:rStyle w:val="Link"/>
          </w:rPr>
          <w:t xml:space="preserve">Congress Shall Make No Law . . .</w:t>
        </w:r>
      </w:hyperlink>
      <w:r>
        <w:t xml:space="preserve">, by Richard Dooling</w:t>
      </w:r>
    </w:p>
    <w:p>
      <w:pPr>
        <w:pStyle w:val="Compact"/>
        <w:numPr>
          <w:numId w:val="11"/>
          <w:ilvl w:val="0"/>
        </w:numPr>
      </w:pPr>
      <w:hyperlink r:id="rId129">
        <w:r>
          <w:rPr>
            <w:rStyle w:val="Link"/>
          </w:rPr>
          <w:t xml:space="preserve">ACLU: Freedom of Expression in the Arts &amp; Entertainment</w:t>
        </w:r>
      </w:hyperlink>
    </w:p>
    <w:p>
      <w:pPr>
        <w:pStyle w:val="Compact"/>
        <w:numPr>
          <w:numId w:val="11"/>
          <w:ilvl w:val="0"/>
        </w:numPr>
      </w:pPr>
      <w:hyperlink r:id="rId130">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1"/>
          <w:ilvl w:val="0"/>
        </w:numPr>
      </w:pPr>
      <w:hyperlink r:id="rId131">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1"/>
          <w:ilvl w:val="0"/>
        </w:numPr>
      </w:pPr>
      <w:hyperlink r:id="rId132">
        <w:r>
          <w:rPr>
            <w:rStyle w:val="Link"/>
          </w:rPr>
          <w:t xml:space="preserve">Fox Urges End to Broadcast Indecency Limits</w:t>
        </w:r>
      </w:hyperlink>
    </w:p>
    <w:bookmarkStart w:id="133" w:name="referencefootnote-cases"/>
    <w:p>
      <w:pPr>
        <w:pStyle w:val="Heading3"/>
      </w:pPr>
      <w:r>
        <w:t xml:space="preserve">Reference/Footnote Cases</w:t>
      </w:r>
    </w:p>
    <w:bookmarkEnd w:id="133"/>
    <w:p>
      <w:r>
        <w:t xml:space="preserve">In class, I may also refer to one or more the cases listed below. Again, the links simply provide more information if you are curious.</w:t>
      </w:r>
    </w:p>
    <w:p>
      <w:pPr>
        <w:pStyle w:val="Compact"/>
        <w:numPr>
          <w:numId w:val="12"/>
          <w:ilvl w:val="0"/>
        </w:numPr>
      </w:pPr>
      <w:hyperlink r:id="rId134">
        <w:r>
          <w:rPr>
            <w:i/>
            <w:rStyle w:val="Link"/>
          </w:rPr>
          <w:t xml:space="preserve">Yahoo! Inc. v. La Ligue Contre Le Racisme et l’antisemitisme (LICRA),</w:t>
        </w:r>
      </w:hyperlink>
      <w:r>
        <w:t xml:space="preserve"> </w:t>
      </w:r>
      <w:r>
        <w:t xml:space="preserve">433 F.3d 1199 (9th Cir. 2006).</w:t>
      </w:r>
      <w:r>
        <w:t xml:space="preserve"> </w:t>
      </w:r>
      <w:hyperlink r:id="rId135">
        <w:r>
          <w:rPr>
            <w:rStyle w:val="Link"/>
          </w:rPr>
          <w:t xml:space="preserve">Wikipedia</w:t>
        </w:r>
      </w:hyperlink>
      <w:r>
        <w:t xml:space="preserve">.</w:t>
      </w:r>
    </w:p>
    <w:p>
      <w:pPr>
        <w:pStyle w:val="Compact"/>
        <w:numPr>
          <w:numId w:val="12"/>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2"/>
          <w:ilvl w:val="0"/>
        </w:numPr>
      </w:pPr>
      <w:hyperlink r:id="rId136">
        <w:r>
          <w:rPr>
            <w:i/>
            <w:rStyle w:val="Link"/>
          </w:rPr>
          <w:t xml:space="preserve">Brandenberg v. Ohio</w:t>
        </w:r>
      </w:hyperlink>
      <w:r>
        <w:t xml:space="preserve">, 395 US 44 (1969).</w:t>
      </w:r>
      <w:r>
        <w:t xml:space="preserve"> </w:t>
      </w:r>
      <w:hyperlink r:id="rId137">
        <w:r>
          <w:rPr>
            <w:rStyle w:val="Link"/>
          </w:rPr>
          <w:t xml:space="preserve">Wikipedia</w:t>
        </w:r>
      </w:hyperlink>
      <w:r>
        <w:t xml:space="preserve">.</w:t>
      </w:r>
    </w:p>
    <w:p>
      <w:pPr>
        <w:pStyle w:val="Compact"/>
        <w:numPr>
          <w:numId w:val="12"/>
          <w:ilvl w:val="0"/>
        </w:numPr>
      </w:pPr>
      <w:hyperlink r:id="rId138">
        <w:r>
          <w:rPr>
            <w:i/>
            <w:rStyle w:val="Link"/>
          </w:rPr>
          <w:t xml:space="preserve">New York Times Co. v. Sullivan</w:t>
        </w:r>
      </w:hyperlink>
      <w:r>
        <w:t xml:space="preserve">, 376 U.S. 254 (1964).</w:t>
      </w:r>
      <w:r>
        <w:t xml:space="preserve"> </w:t>
      </w:r>
      <w:hyperlink r:id="rId139">
        <w:r>
          <w:rPr>
            <w:rStyle w:val="Link"/>
          </w:rPr>
          <w:t xml:space="preserve">Wikipedia</w:t>
        </w:r>
      </w:hyperlink>
    </w:p>
    <w:p>
      <w:pPr>
        <w:pStyle w:val="Compact"/>
        <w:numPr>
          <w:numId w:val="12"/>
          <w:ilvl w:val="0"/>
        </w:numPr>
      </w:pPr>
      <w:r>
        <w:rPr>
          <w:i/>
        </w:rPr>
        <w:t xml:space="preserve">Miller v. California,</w:t>
      </w:r>
      <w:r>
        <w:t xml:space="preserve"> </w:t>
      </w:r>
      <w:r>
        <w:t xml:space="preserve">U.S. Supreme Court (1973)</w:t>
      </w:r>
      <w:r>
        <w:t xml:space="preserve"> </w:t>
      </w:r>
      <w:hyperlink r:id="rId140">
        <w:r>
          <w:rPr>
            <w:rStyle w:val="Link"/>
          </w:rPr>
          <w:t xml:space="preserve">Wikipedia</w:t>
        </w:r>
      </w:hyperlink>
    </w:p>
    <w:p>
      <w:pPr>
        <w:pStyle w:val="Compact"/>
        <w:numPr>
          <w:numId w:val="12"/>
          <w:ilvl w:val="0"/>
        </w:numPr>
      </w:pPr>
      <w:r>
        <w:t xml:space="preserve">The</w:t>
      </w:r>
      <w:r>
        <w:t xml:space="preserve"> </w:t>
      </w:r>
      <w:hyperlink r:id="rId75">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2"/>
          <w:ilvl w:val="0"/>
        </w:numPr>
      </w:pPr>
      <w:hyperlink r:id="rId141">
        <w:r>
          <w:rPr>
            <w:i/>
            <w:rStyle w:val="Link"/>
          </w:rPr>
          <w:t xml:space="preserve">New York v. Ferber</w:t>
        </w:r>
      </w:hyperlink>
      <w:r>
        <w:t xml:space="preserve">, 458 US 747 (1982).</w:t>
      </w:r>
      <w:r>
        <w:t xml:space="preserve"> </w:t>
      </w:r>
      <w:hyperlink r:id="rId77">
        <w:r>
          <w:rPr>
            <w:rStyle w:val="Link"/>
          </w:rPr>
          <w:t xml:space="preserve">Wikipedia</w:t>
        </w:r>
      </w:hyperlink>
      <w:r>
        <w:t xml:space="preserve">.</w:t>
      </w:r>
    </w:p>
    <w:p>
      <w:pPr>
        <w:pStyle w:val="Compact"/>
        <w:numPr>
          <w:numId w:val="12"/>
          <w:ilvl w:val="0"/>
        </w:numPr>
      </w:pP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55d9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90f69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ed0b5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38" Target="http://lawschool.westlaw.com/shared/westlawRedirect.aspx?task=find&amp;cite=236+U.S.+23&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38" Target="http://lawschool.westlaw.com/shared/westlawRedirect.aspx?task=find&amp;cite=236+U.S.+23&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2014-08-24</dcterms:created>
  <dcterms:modified xsi:type="dcterms:W3CDTF">2014-08-24</dcterms:modified>
</cp:coreProperties>
</file>