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violence"/>
      <w:bookmarkEnd w:id="23"/>
      <w:r>
        <w:t xml:space="preserve">First Amendment - Violence</w:t>
      </w:r>
    </w:p>
    <w:p>
      <w:pPr>
        <w:pStyle w:val="FirstParagraph"/>
      </w:pPr>
      <w:r>
        <w:t xml:space="preserve">If speech is just too "sexy," it can be banned. If it's indecent, it can be regulated. But what if speech is just too violent? What if a rapstar's lyrics "inspire" or</w:t>
      </w:r>
      <w:r>
        <w:t xml:space="preserve"> </w:t>
      </w:r>
      <w:hyperlink r:id="rId24">
        <w:r>
          <w:rPr>
            <w:rStyle w:val="Hyperlink"/>
          </w:rPr>
          <w:t xml:space="preserve">"cause" somebody to shoot a cop?</w:t>
        </w:r>
      </w:hyperlink>
    </w:p>
    <w:p>
      <w:pPr>
        <w:pStyle w:val="BodyText"/>
      </w:pPr>
      <w:r>
        <w:t xml:space="preserve">What if a journalist writes a lurid men's magazine article about autoerotic asphyxiation and arguably “causes” teenagers to try such deviant behavior for themselves,</w:t>
      </w:r>
      <w:r>
        <w:t xml:space="preserve"> </w:t>
      </w:r>
      <w:hyperlink r:id="rId25">
        <w:r>
          <w:rPr>
            <w:rStyle w:val="Hyperlink"/>
          </w:rPr>
          <w:t xml:space="preserve">accidentally hanging themselves</w:t>
        </w:r>
      </w:hyperlink>
      <w:r>
        <w:t xml:space="preserve">? What if at trial, the victim's family argues that the journalist's lurid article was really just a how-to for teenage thrill-seekers? We sympathize with the parents when they sue the magazine for publishing a glossy magazine article that arguably tempted their adolescent son to experiment, with fatal consequences.</w:t>
      </w:r>
    </w:p>
    <w:p>
      <w:pPr>
        <w:pStyle w:val="BodyText"/>
      </w:pPr>
      <w:r>
        <w:t xml:space="preserve">What if the recording of a heavy metal hit contains subliminal lyrics that arguably encourage somebody to commit suicide or kill police officers? What if a programmer creates a violent video game that arguably "causes" or "inspires" a school shooting?</w:t>
      </w:r>
    </w:p>
    <w:p>
      <w:pPr>
        <w:pStyle w:val="BodyText"/>
      </w:pPr>
      <w:r>
        <w:t xml:space="preserve">Should the family members of these victims be allowed to sue magazine publishers, record companies, rock starts for indirectly "causing" the death of their loved ones?</w:t>
      </w:r>
    </w:p>
    <w:p>
      <w:pPr>
        <w:pStyle w:val="BodyText"/>
      </w:pPr>
      <w:r>
        <w:t xml:space="preserve">Fourteen different murderers have said that Oliver Stone’s</w:t>
      </w:r>
      <w:r>
        <w:t xml:space="preserve"> </w:t>
      </w:r>
      <w:r>
        <w:rPr>
          <w:i/>
        </w:rPr>
        <w:t xml:space="preserve">Natural Born Killers</w:t>
      </w:r>
      <w:r>
        <w:t xml:space="preserve"> </w:t>
      </w:r>
      <w:hyperlink r:id="rId26">
        <w:r>
          <w:rPr>
            <w:rStyle w:val="Hyperlink"/>
          </w:rPr>
          <w:t xml:space="preserve">inspired them to go on crime sprees of their own</w:t>
        </w:r>
      </w:hyperlink>
      <w:r>
        <w:t xml:space="preserve">.</w:t>
      </w:r>
    </w:p>
    <w:p>
      <w:pPr>
        <w:pStyle w:val="BodyText"/>
      </w:pPr>
      <w:r>
        <w:t xml:space="preserve">What if somebody hires a videographer to make a documentary about the production and sale of so-called</w:t>
      </w:r>
      <w:r>
        <w:t xml:space="preserve"> </w:t>
      </w:r>
      <w:hyperlink r:id="rId27">
        <w:r>
          <w:rPr>
            <w:rStyle w:val="Hyper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indecency is regulated?</w:t>
      </w:r>
    </w:p>
    <w:p>
      <w:pPr>
        <w:pStyle w:val="Heading3"/>
      </w:pPr>
      <w:bookmarkStart w:id="28" w:name="a-miller-test-for-violence"/>
      <w:bookmarkEnd w:id="28"/>
      <w:r>
        <w:t xml:space="preserve">A</w:t>
      </w:r>
      <w:r>
        <w:t xml:space="preserve"> </w:t>
      </w:r>
      <w:r>
        <w:rPr>
          <w:i/>
        </w:rPr>
        <w:t xml:space="preserve">Miller</w:t>
      </w:r>
      <w:r>
        <w:t xml:space="preserve"> </w:t>
      </w:r>
      <w:r>
        <w:t xml:space="preserve">Test For Violence?</w:t>
      </w:r>
    </w:p>
    <w:p>
      <w:pPr>
        <w:pStyle w:val="FirstParagraph"/>
      </w:pPr>
      <w:r>
        <w:t xml:space="preserve">Do we need a</w:t>
      </w:r>
      <w:r>
        <w:t xml:space="preserve"> </w:t>
      </w:r>
      <w:hyperlink r:id="rId29">
        <w:r>
          <w:rPr>
            <w:i/>
            <w:rStyle w:val="Hyperlink"/>
          </w:rPr>
          <w:t xml:space="preserve">Miller</w:t>
        </w:r>
        <w:r>
          <w:rPr>
            <w:rStyle w:val="Hyperlink"/>
          </w:rPr>
          <w:t xml:space="preserve"> </w:t>
        </w:r>
        <w:r>
          <w:rPr>
            <w:rStyle w:val="Hyperlink"/>
          </w:rPr>
          <w:t xml:space="preserve">test</w:t>
        </w:r>
      </w:hyperlink>
      <w:r>
        <w:t xml:space="preserve"> </w:t>
      </w:r>
      <w:r>
        <w:t xml:space="preserve">for violence? If regulation is required, who should regulate? The government? Industry groups, like the</w:t>
      </w:r>
      <w:r>
        <w:t xml:space="preserve"> </w:t>
      </w:r>
      <w:hyperlink r:id="rId30">
        <w:r>
          <w:rPr>
            <w:rStyle w:val="Hyperlink"/>
          </w:rPr>
          <w:t xml:space="preserve">Motion Picture Association of America (MPAA)</w:t>
        </w:r>
      </w:hyperlink>
      <w:r>
        <w:t xml:space="preserve"> </w:t>
      </w:r>
      <w:r>
        <w:t xml:space="preserve">or the</w:t>
      </w:r>
      <w:r>
        <w:t xml:space="preserve"> </w:t>
      </w:r>
      <w:hyperlink r:id="rId31">
        <w:r>
          <w:rPr>
            <w:rStyle w:val="Hyperlink"/>
          </w:rPr>
          <w:t xml:space="preserve">Entertainment Software Ratings Board (ESRB)</w:t>
        </w:r>
      </w:hyperlink>
      <w:r>
        <w:t xml:space="preserve">? Or shall we allow civil liability in the form of lawsuits against content providers who publish material that arguably amounts to incitement to violence?</w:t>
      </w:r>
    </w:p>
    <w:p>
      <w:pPr>
        <w:pStyle w:val="BodyText"/>
      </w:pPr>
      <w:r>
        <w:t xml:space="preserve">In</w:t>
      </w:r>
      <w:r>
        <w:t xml:space="preserve"> </w:t>
      </w:r>
      <w:r>
        <w:rPr>
          <w:i/>
        </w:rPr>
        <w:t xml:space="preserve">Ginsberg v. New York</w:t>
      </w:r>
      <w:r>
        <w:t xml:space="preserve"> </w:t>
      </w:r>
      <w:r>
        <w:t xml:space="preserve">(discussed below), the Supreme Court upheld a New York statute that regulated obscenity-for-minors,</w:t>
      </w:r>
    </w:p>
    <w:p>
      <w:pPr>
        <w:pStyle w:val="BodyText"/>
      </w:pPr>
      <w:r>
        <w:t xml:space="preserve">prohibiting the sale of</w:t>
      </w:r>
      <w:r>
        <w:t xml:space="preserve"> </w:t>
      </w:r>
      <w:r>
        <w:rPr>
          <w:i/>
        </w:rPr>
        <w:t xml:space="preserve">sexual</w:t>
      </w:r>
      <w:r>
        <w:t xml:space="preserve"> </w:t>
      </w:r>
      <w:r>
        <w:t xml:space="preserve">material that, while not obscene to adults, would be obscene from the perspective of a child.</w:t>
      </w:r>
    </w:p>
    <w:p>
      <w:pPr>
        <w:pStyle w:val="BodyText"/>
      </w:pPr>
      <w:r>
        <w:t xml:space="preserve">Using some of the same language, California passed a law banning the sale of violent video games to minors. It was immediately challenged in court by a consortium of video game and software companies, who eventually took their case all the way to the United States Supreme Court.</w:t>
      </w:r>
    </w:p>
    <w:p>
      <w:pPr>
        <w:pStyle w:val="Heading2"/>
      </w:pPr>
      <w:bookmarkStart w:id="32" w:name="brown-v.-entertainment-merchants"/>
      <w:bookmarkEnd w:id="32"/>
      <w:r>
        <w:rPr>
          <w:i/>
        </w:rPr>
        <w:t xml:space="preserve">Brown v. Entertainment Merchants</w:t>
      </w:r>
    </w:p>
    <w:p>
      <w:pPr>
        <w:pStyle w:val="Heading6"/>
      </w:pPr>
      <w:bookmarkStart w:id="33" w:name="u.s.-supreme-court-2011"/>
      <w:bookmarkEnd w:id="33"/>
      <w:r>
        <w:t xml:space="preserve">U.S. Supreme Court (2011)</w:t>
      </w:r>
    </w:p>
    <w:p>
      <w:pPr>
        <w:pStyle w:val="Compact"/>
        <w:numPr>
          <w:numId w:val="1001"/>
          <w:ilvl w:val="0"/>
        </w:numPr>
      </w:pPr>
      <w:hyperlink r:id="rId34">
        <w:r>
          <w:rPr>
            <w:rStyle w:val="Hyperlink"/>
          </w:rPr>
          <w:t xml:space="preserve">case at Google Scholar</w:t>
        </w:r>
      </w:hyperlink>
    </w:p>
    <w:p>
      <w:pPr>
        <w:pStyle w:val="Compact"/>
        <w:numPr>
          <w:numId w:val="1001"/>
          <w:ilvl w:val="0"/>
        </w:numPr>
      </w:pPr>
      <w:hyperlink r:id="rId35">
        <w:r>
          <w:rPr>
            <w:rStyle w:val="Hyperlink"/>
          </w:rPr>
          <w:t xml:space="preserve">how cited at Google Scholar</w:t>
        </w:r>
      </w:hyperlink>
    </w:p>
    <w:p>
      <w:pPr>
        <w:pStyle w:val="Compact"/>
        <w:numPr>
          <w:numId w:val="1001"/>
          <w:ilvl w:val="0"/>
        </w:numPr>
      </w:pPr>
      <w:hyperlink r:id="rId36">
        <w:r>
          <w:rPr>
            <w:rStyle w:val="Hyperlink"/>
          </w:rPr>
          <w:t xml:space="preserve">case at Westlaw</w:t>
        </w:r>
      </w:hyperlink>
    </w:p>
    <w:p>
      <w:pPr>
        <w:pStyle w:val="Compact"/>
        <w:numPr>
          <w:numId w:val="1001"/>
          <w:ilvl w:val="0"/>
        </w:numPr>
      </w:pPr>
      <w:hyperlink r:id="rId37">
        <w:r>
          <w:rPr>
            <w:rStyle w:val="Hyperlink"/>
          </w:rPr>
          <w:t xml:space="preserve">case at Wikipedia</w:t>
        </w:r>
      </w:hyperlink>
      <w:r>
        <w:t xml:space="preserve">.</w:t>
      </w:r>
    </w:p>
    <w:p>
      <w:pPr>
        <w:pStyle w:val="FirstParagraph"/>
      </w:pPr>
      <w:r>
        <w:t xml:space="preserve">We consider whether a California law imposing restrictions on violent video games comports with the First Amendment.</w:t>
      </w:r>
    </w:p>
    <w:p>
      <w:pPr>
        <w:pStyle w:val="Heading3"/>
      </w:pPr>
      <w:bookmarkStart w:id="38" w:name="i"/>
      <w:bookmarkEnd w:id="38"/>
      <w:r>
        <w:t xml:space="preserve">I</w:t>
      </w:r>
    </w:p>
    <w:p>
      <w:pPr>
        <w:pStyle w:val="FirstParagraph"/>
      </w:pPr>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Text"/>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pPr>
        <w:pStyle w:val="FirstParagraph"/>
      </w:pPr>
      <w:r>
        <w:t xml:space="preserve">Violation of the Act is punishable by a civil fine of up to $1,000.</w:t>
      </w:r>
    </w:p>
    <w:p>
      <w:pPr>
        <w:pStyle w:val="BodyText"/>
      </w:pPr>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9">
        <w:r>
          <w:rPr>
            <w:i/>
            <w:rStyle w:val="Hyperlink"/>
          </w:rPr>
          <w:t xml:space="preserve">Video Software Dealers Assn. v. Schwarzenegger</w:t>
        </w:r>
      </w:hyperlink>
      <w:r>
        <w:t xml:space="preserve"> </w:t>
      </w:r>
      <w:r>
        <w:t xml:space="preserve">… The Court of Appeals affirmed,</w:t>
      </w:r>
      <w:r>
        <w:t xml:space="preserve"> </w:t>
      </w:r>
      <w:hyperlink r:id="rId39">
        <w:r>
          <w:rPr>
            <w:i/>
            <w:rStyle w:val="Hyperlink"/>
          </w:rPr>
          <w:t xml:space="preserve">Video Software Dealers Assn. v. Schwarzenegger,</w:t>
        </w:r>
        <w:r>
          <w:rPr>
            <w:rStyle w:val="Hyperlink"/>
          </w:rPr>
          <w:t xml:space="preserve"> </w:t>
        </w:r>
        <w:r>
          <w:rPr>
            <w:rStyle w:val="Hyperlink"/>
          </w:rPr>
          <w:t xml:space="preserve">(C.A.9 2009),</w:t>
        </w:r>
      </w:hyperlink>
      <w:r>
        <w:t xml:space="preserve"> </w:t>
      </w:r>
      <w:r>
        <w:t xml:space="preserve">and we granted certiorari …</w:t>
      </w:r>
    </w:p>
    <w:p>
      <w:pPr>
        <w:pStyle w:val="Heading3"/>
      </w:pPr>
      <w:bookmarkStart w:id="40" w:name="ii"/>
      <w:bookmarkEnd w:id="40"/>
      <w:r>
        <w:t xml:space="preserve">II</w:t>
      </w:r>
    </w:p>
    <w:p>
      <w:pPr>
        <w:pStyle w:val="FirstParagraph"/>
      </w:pPr>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41">
        <w:r>
          <w:rPr>
            <w:i/>
            <w:rStyle w:val="Hyperlink"/>
          </w:rPr>
          <w:t xml:space="preserve">Winters v. New York,</w:t>
        </w:r>
        <w:r>
          <w:rPr>
            <w:rStyle w:val="Hyperlink"/>
          </w:rPr>
          <w:t xml:space="preserve"> </w:t>
        </w:r>
        <w:r>
          <w:rPr>
            <w:rStyle w:val="Hyperlink"/>
          </w:rPr>
          <w:t xml:space="preserve">(S.Ct.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2">
        <w:r>
          <w:rPr>
            <w:i/>
            <w:rStyle w:val="Hyperlink"/>
          </w:rPr>
          <w:t xml:space="preserve">United States v. Playboy Entertainment Group, Inc.,</w:t>
        </w:r>
        <w:r>
          <w:rPr>
            <w:rStyle w:val="Hyperlink"/>
          </w:rPr>
          <w:t xml:space="preserve"> </w:t>
        </w:r>
        <w:r>
          <w:rPr>
            <w:rStyle w:val="Hyperlink"/>
          </w:rPr>
          <w:t xml:space="preserve">(S.Ct.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3">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 "[A]s a general matter … government has no power to restrict expression because of its message, its ideas, its subject matter, or its content."</w:t>
      </w:r>
      <w:r>
        <w:t xml:space="preserve"> </w:t>
      </w:r>
      <w:hyperlink r:id="rId44">
        <w:r>
          <w:rPr>
            <w:i/>
            <w:rStyle w:val="Hyperlink"/>
          </w:rPr>
          <w:t xml:space="preserve">Ashcroft v. American Civil Liberties Union,</w:t>
        </w:r>
        <w:r>
          <w:rPr>
            <w:rStyle w:val="Hyperlink"/>
          </w:rPr>
          <w:t xml:space="preserve"> </w:t>
        </w:r>
        <w:r>
          <w:rPr>
            <w:rStyle w:val="Hyperlink"/>
          </w:rPr>
          <w:t xml:space="preserve">(S.Ct.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5">
        <w:r>
          <w:rPr>
            <w:i/>
            <w:rStyle w:val="Hyperlink"/>
          </w:rPr>
          <w:t xml:space="preserve">United States v. Stevens,</w:t>
        </w:r>
        <w:r>
          <w:rPr>
            <w:rStyle w:val="Hyperlink"/>
          </w:rPr>
          <w:t xml:space="preserve"> </w:t>
        </w:r>
        <w:r>
          <w:rPr>
            <w:rStyle w:val="Hyperlink"/>
          </w:rPr>
          <w:t xml:space="preserve">(S.Ct. 2010)</w:t>
        </w:r>
      </w:hyperlink>
      <w:r>
        <w:t xml:space="preserve"> </w:t>
      </w:r>
      <w:r>
        <w:t xml:space="preserve">(quoting</w:t>
      </w:r>
      <w:r>
        <w:t xml:space="preserve"> </w:t>
      </w:r>
      <w:hyperlink r:id="rId46">
        <w:r>
          <w:rPr>
            <w:i/>
            <w:rStyle w:val="Hyperlink"/>
          </w:rPr>
          <w:t xml:space="preserve">R.A.V. v. St. Paul,</w:t>
        </w:r>
        <w:r>
          <w:rPr>
            <w:rStyle w:val="Hyperlink"/>
          </w:rPr>
          <w:t xml:space="preserve"> </w:t>
        </w:r>
        <w:r>
          <w:rPr>
            <w:rStyle w:val="Hyperlink"/>
          </w:rPr>
          <w:t xml:space="preserve">(S.Ct. 1992)</w:t>
        </w:r>
      </w:hyperlink>
      <w:r>
        <w:t xml:space="preserve">). These limited areas—such as obscenity,</w:t>
      </w:r>
      <w:r>
        <w:t xml:space="preserve"> </w:t>
      </w:r>
      <w:hyperlink r:id="rId47">
        <w:r>
          <w:rPr>
            <w:i/>
            <w:rStyle w:val="Hyperlink"/>
          </w:rPr>
          <w:t xml:space="preserve">Roth v. United States,</w:t>
        </w:r>
        <w:r>
          <w:rPr>
            <w:rStyle w:val="Hyperlink"/>
          </w:rPr>
          <w:t xml:space="preserve"> </w:t>
        </w:r>
        <w:r>
          <w:rPr>
            <w:rStyle w:val="Hyperlink"/>
          </w:rPr>
          <w:t xml:space="preserve">(S.Ct. 1957),</w:t>
        </w:r>
      </w:hyperlink>
      <w:r>
        <w:t xml:space="preserve"> </w:t>
      </w:r>
      <w:r>
        <w:t xml:space="preserve">incitement,</w:t>
      </w:r>
      <w:r>
        <w:t xml:space="preserve"> </w:t>
      </w:r>
      <w:hyperlink r:id="rId48">
        <w:r>
          <w:rPr>
            <w:i/>
            <w:rStyle w:val="Hyperlink"/>
          </w:rPr>
          <w:t xml:space="preserve">Brandenburg v. Ohio,</w:t>
        </w:r>
        <w:r>
          <w:rPr>
            <w:rStyle w:val="Hyperlink"/>
          </w:rPr>
          <w:t xml:space="preserve"> </w:t>
        </w:r>
        <w:r>
          <w:rPr>
            <w:rStyle w:val="Hyperlink"/>
          </w:rPr>
          <w:t xml:space="preserve">(S.Ct. 1969)</w:t>
        </w:r>
        <w:r>
          <w:rPr>
            <w:rStyle w:val="Hyperlink"/>
          </w:rPr>
          <w:t xml:space="preserve"> </w:t>
        </w:r>
        <w:r>
          <w:rPr>
            <w:i/>
            <w:rStyle w:val="Hyperlink"/>
          </w:rPr>
          <w:t xml:space="preserve">(per curiam)</w:t>
        </w:r>
      </w:hyperlink>
      <w:r>
        <w:rPr>
          <w:i/>
        </w:rPr>
        <w:t xml:space="preserve">,</w:t>
      </w:r>
      <w:r>
        <w:t xml:space="preserve"> </w:t>
      </w:r>
      <w:r>
        <w:t xml:space="preserve">and fighting words,</w:t>
      </w:r>
      <w:r>
        <w:t xml:space="preserve"> </w:t>
      </w:r>
      <w:hyperlink r:id="rId49">
        <w:r>
          <w:rPr>
            <w:i/>
            <w:rStyle w:val="Hyperlink"/>
          </w:rPr>
          <w:t xml:space="preserve">Chaplinsky v. New Hampshire,</w:t>
        </w:r>
        <w:r>
          <w:rPr>
            <w:rStyle w:val="Hyperlink"/>
          </w:rPr>
          <w:t xml:space="preserve"> </w:t>
        </w:r>
        <w:r>
          <w:rPr>
            <w:rStyle w:val="Hyperlink"/>
          </w:rPr>
          <w:t xml:space="preserve">S.Ct. 1942)</w:t>
        </w:r>
      </w:hyperlink>
      <w:r>
        <w:t xml:space="preserve">—represent "well-defined and narrowly limited classes of speech, the prevention and punishment of which have never been thought to raise any Constitutional problem."</w:t>
      </w:r>
    </w:p>
    <w:p>
      <w:pPr>
        <w:pStyle w:val="BodyText"/>
      </w:pPr>
      <w:r>
        <w:t xml:space="preserve">Last term, in</w:t>
      </w:r>
      <w:r>
        <w:t xml:space="preserve"> </w:t>
      </w:r>
      <w:r>
        <w:rPr>
          <w:i/>
        </w:rPr>
        <w:t xml:space="preserve">Stevens</w:t>
      </w:r>
      <w:r>
        <w:t xml:space="preserve">, 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50">
        <w:r>
          <w:rPr>
            <w:i/>
            <w:rStyle w:val="Hyperlink"/>
          </w:rPr>
          <w:t xml:space="preserve">Miller v. California,</w:t>
        </w:r>
        <w:r>
          <w:rPr>
            <w:rStyle w:val="Hyperlink"/>
          </w:rPr>
          <w:t xml:space="preserve"> </w:t>
        </w:r>
        <w:r>
          <w:rPr>
            <w:rStyle w:val="Hyperlink"/>
          </w:rPr>
          <w:t xml:space="preserve">(Sct.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5">
        <w:r>
          <w:rPr>
            <w:i/>
            <w:rStyle w:val="Hyperlink"/>
          </w:rPr>
          <w:t xml:space="preserve">Stevens, supra</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pPr>
        <w:pStyle w:val="BodyText"/>
      </w:pPr>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50">
        <w:r>
          <w:rPr>
            <w:i/>
            <w:rStyle w:val="Hyperlink"/>
          </w:rPr>
          <w:t xml:space="preserve">Miller, supra,</w:t>
        </w:r>
      </w:hyperlink>
      <w:r>
        <w:t xml:space="preserve">. See also</w:t>
      </w:r>
      <w:r>
        <w:t xml:space="preserve"> </w:t>
      </w:r>
      <w:hyperlink r:id="rId51">
        <w:r>
          <w:rPr>
            <w:i/>
            <w:rStyle w:val="Hyperlink"/>
          </w:rPr>
          <w:t xml:space="preserve">Cohen v. California,</w:t>
        </w:r>
        <w:r>
          <w:rPr>
            <w:rStyle w:val="Hyperlink"/>
          </w:rPr>
          <w:t xml:space="preserve"> </w:t>
        </w:r>
        <w:r>
          <w:rPr>
            <w:rStyle w:val="Hyperlink"/>
          </w:rPr>
          <w:t xml:space="preserve">(S.Ct. 1971)</w:t>
        </w:r>
      </w:hyperlink>
      <w:r>
        <w:t xml:space="preserve">;</w:t>
      </w:r>
      <w:r>
        <w:t xml:space="preserve"> </w:t>
      </w:r>
      <w:hyperlink r:id="rId47">
        <w:r>
          <w:rPr>
            <w:i/>
            <w:rStyle w:val="Hyperlink"/>
          </w:rPr>
          <w:t xml:space="preserve">Roth, supra,</w:t>
        </w:r>
        <w:r>
          <w:rPr>
            <w:rStyle w:val="Hyperlink"/>
          </w:rPr>
          <w:t xml:space="preserve"> </w:t>
        </w:r>
        <w:r>
          <w:rPr>
            <w:rStyle w:val="Hyperlink"/>
          </w:rPr>
          <w:t xml:space="preserve">at 487</w:t>
        </w:r>
      </w:hyperlink>
      <w:r>
        <w:t xml:space="preserve">.</w:t>
      </w:r>
    </w:p>
    <w:p>
      <w:pPr>
        <w:pStyle w:val="BodyText"/>
      </w:pPr>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52">
        <w:r>
          <w:rPr>
            <w:i/>
            <w:rStyle w:val="Hyperlink"/>
          </w:rPr>
          <w:t xml:space="preserve">Winters</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52">
        <w:r>
          <w:rPr>
            <w:i/>
            <w:rStyle w:val="Hyperlink"/>
          </w:rPr>
          <w:t xml:space="preserve">Winters</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pPr>
        <w:pStyle w:val="BodyText"/>
      </w:pPr>
      <w:r>
        <w:t xml:space="preserve">Because speech about violence is not obscene, it is of no consequence that California's statute mimics the New York statute regulating obscenity-for-minors that we upheld in</w:t>
      </w:r>
      <w:r>
        <w:t xml:space="preserve"> </w:t>
      </w:r>
      <w:hyperlink r:id="rId53">
        <w:r>
          <w:rPr>
            <w:i/>
            <w:rStyle w:val="Hyperlink"/>
          </w:rPr>
          <w:t xml:space="preserve">Ginsberg v. New York,</w:t>
        </w:r>
        <w:r>
          <w:rPr>
            <w:rStyle w:val="Hyperlink"/>
          </w:rPr>
          <w:t xml:space="preserve"> </w:t>
        </w:r>
        <w:r>
          <w:rPr>
            <w:rStyle w:val="Hyperlink"/>
          </w:rPr>
          <w:t xml:space="preserve">(S.Ct.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3">
        <w:r>
          <w:rPr>
            <w:i/>
            <w:rStyle w:val="Hyperlink"/>
          </w:rPr>
          <w:t xml:space="preserve">Ginsberg</w:t>
        </w:r>
      </w:hyperlink>
      <w:r>
        <w:t xml:space="preserve"> </w:t>
      </w:r>
      <w:r>
        <w:t xml:space="preserve">(quoting</w:t>
      </w:r>
      <w:r>
        <w:t xml:space="preserve"> </w:t>
      </w:r>
      <w:hyperlink r:id="rId54">
        <w:r>
          <w:rPr>
            <w:i/>
            <w:rStyle w:val="Hyperlink"/>
          </w:rPr>
          <w:t xml:space="preserve">Mishkin v. New York,</w:t>
        </w:r>
        <w:r>
          <w:rPr>
            <w:rStyle w:val="Hyperlink"/>
          </w:rPr>
          <w:t xml:space="preserve"> </w:t>
        </w:r>
        <w:r>
          <w:rPr>
            <w:rStyle w:val="Hyperlink"/>
          </w:rPr>
          <w:t xml:space="preserve">(S.Ct. 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3">
        <w:r>
          <w:rPr>
            <w:i/>
            <w:rStyle w:val="Hyperlink"/>
          </w:rPr>
          <w:t xml:space="preserve">Ginsberg</w:t>
        </w:r>
      </w:hyperlink>
      <w:r>
        <w:t xml:space="preserve">.</w:t>
      </w:r>
    </w:p>
    <w:p>
      <w:pPr>
        <w:pStyle w:val="BodyText"/>
      </w:pPr>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pPr>
        <w:pStyle w:val="BodyText"/>
      </w:pPr>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5">
        <w:r>
          <w:rPr>
            <w:i/>
            <w:rStyle w:val="Hyperlink"/>
          </w:rPr>
          <w:t xml:space="preserve">Erznoznik v. Jacksonville,</w:t>
        </w:r>
      </w:hyperlink>
      <w:r>
        <w:t xml:space="preserve">. No doubt a State possesses legitimate power to protect children from harm,</w:t>
      </w:r>
      <w:r>
        <w:t xml:space="preserve"> </w:t>
      </w:r>
      <w:hyperlink r:id="rId53">
        <w:r>
          <w:rPr>
            <w:i/>
            <w:rStyle w:val="Hyperlink"/>
          </w:rPr>
          <w:t xml:space="preserve">Ginsberg, supra,</w:t>
        </w:r>
      </w:hyperlink>
      <w:r>
        <w:t xml:space="preserve">;</w:t>
      </w:r>
      <w:r>
        <w:t xml:space="preserve"> </w:t>
      </w:r>
      <w:hyperlink r:id="rId56">
        <w:r>
          <w:rPr>
            <w:i/>
            <w:rStyle w:val="Hyperlink"/>
          </w:rPr>
          <w:t xml:space="preserve">Prince v. Massachusetts,</w:t>
        </w:r>
        <w:r>
          <w:rPr>
            <w:rStyle w:val="Hyperlink"/>
          </w:rPr>
          <w:t xml:space="preserve"> </w:t>
        </w:r>
        <w:r>
          <w:rPr>
            <w:rStyle w:val="Hyperlink"/>
          </w:rPr>
          <w:t xml:space="preserve">(S.Ct.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5">
        <w:r>
          <w:rPr>
            <w:i/>
            <w:rStyle w:val="Hyperlink"/>
          </w:rPr>
          <w:t xml:space="preserve">Erznoznik, supra,</w:t>
        </w:r>
      </w:hyperlink>
      <w:r>
        <w:t xml:space="preserve">.</w:t>
      </w:r>
    </w:p>
    <w:p>
      <w:pPr>
        <w:pStyle w:val="BodyText"/>
      </w:pPr>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pPr>
        <w:pStyle w:val="BodyText"/>
      </w:pPr>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pPr>
        <w:pStyle w:val="BodyText"/>
      </w:pPr>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7">
        <w:r>
          <w:rPr>
            <w:i/>
            <w:rStyle w:val="Hyperlink"/>
          </w:rPr>
          <w:t xml:space="preserve">Mutual Film Corp. v. Industrial Comm'n of Ohio,</w:t>
        </w:r>
        <w:r>
          <w:rPr>
            <w:rStyle w:val="Hyperlink"/>
          </w:rPr>
          <w:t xml:space="preserve"> </w:t>
        </w:r>
        <w:r>
          <w:rPr>
            <w:rStyle w:val="Hyperlink"/>
          </w:rPr>
          <w:t xml:space="preserve">(S.Ct. 1915),</w:t>
        </w:r>
      </w:hyperlink>
      <w:r>
        <w:t xml:space="preserve"> </w:t>
      </w:r>
      <w:r>
        <w:t xml:space="preserve">but we eventually reversed course,</w:t>
      </w:r>
      <w:r>
        <w:t xml:space="preserve"> </w:t>
      </w:r>
      <w:hyperlink r:id="rId43">
        <w:r>
          <w:rPr>
            <w:i/>
            <w:rStyle w:val="Hyperlink"/>
          </w:rPr>
          <w:t xml:space="preserve">Joseph Burstyn, Inc.,</w:t>
        </w:r>
      </w:hyperlink>
      <w:r>
        <w:t xml:space="preserve">; see also</w:t>
      </w:r>
      <w:r>
        <w:t xml:space="preserve"> </w:t>
      </w:r>
      <w:hyperlink r:id="rId55">
        <w:r>
          <w:rPr>
            <w:i/>
            <w:rStyle w:val="Hyperlink"/>
          </w:rPr>
          <w:t xml:space="preserve">Erznoznik, supra,</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pPr>
        <w:pStyle w:val="BodyText"/>
      </w:pPr>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8">
        <w:r>
          <w:rPr>
            <w:i/>
            <w:rStyle w:val="Hyperlink"/>
          </w:rPr>
          <w:t xml:space="preserve">American Amusement Machine Assn. v. Kendrick,</w:t>
        </w:r>
        <w:r>
          <w:rPr>
            <w:rStyle w:val="Hyperlink"/>
          </w:rPr>
          <w:t xml:space="preserve"> </w:t>
        </w:r>
        <w:r>
          <w:rPr>
            <w:rStyle w:val="Hyperlink"/>
          </w:rPr>
          <w:t xml:space="preserve">(7th Cir. 2001)</w:t>
        </w:r>
      </w:hyperlink>
      <w:r>
        <w:t xml:space="preserve"> </w:t>
      </w:r>
      <w:r>
        <w:t xml:space="preserve">(striking down a similar restriction on violent video games).</w:t>
      </w:r>
    </w:p>
    <w:p>
      <w:pPr>
        <w:pStyle w:val="BodyText"/>
      </w:pPr>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9" w:name="iii"/>
      <w:bookmarkEnd w:id="59"/>
      <w:r>
        <w:t xml:space="preserve">III</w:t>
      </w:r>
    </w:p>
    <w:p>
      <w:pPr>
        <w:pStyle w:val="FirstParagraph"/>
      </w:pPr>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46">
        <w:r>
          <w:rPr>
            <w:i/>
            <w:rStyle w:val="Hyperlink"/>
          </w:rPr>
          <w:t xml:space="preserve">R.A.V.,</w:t>
        </w:r>
      </w:hyperlink>
      <w:r>
        <w:t xml:space="preserve">. The State must specifically identify an "actual problem" in need of solving,</w:t>
      </w:r>
      <w:r>
        <w:t xml:space="preserve"> </w:t>
      </w:r>
      <w:hyperlink r:id="rId60">
        <w:r>
          <w:rPr>
            <w:i/>
            <w:rStyle w:val="Hyperlink"/>
          </w:rPr>
          <w:t xml:space="preserve">Playboy,</w:t>
        </w:r>
      </w:hyperlink>
      <w:r>
        <w:t xml:space="preserve"> </w:t>
      </w:r>
      <w:r>
        <w:t xml:space="preserve">and the curtailment of free speech must be actually necessary to the solution, see</w:t>
      </w:r>
      <w:r>
        <w:t xml:space="preserve"> </w:t>
      </w:r>
      <w:hyperlink r:id="rId46">
        <w:r>
          <w:rPr>
            <w:i/>
            <w:rStyle w:val="Hyperlink"/>
          </w:rPr>
          <w:t xml:space="preserve">R.A.V., supra,</w:t>
        </w:r>
      </w:hyperlink>
      <w:r>
        <w:t xml:space="preserve">. That is a demanding standard. "It is rare that a regulation restricting speech because of its content will ever be permissible."</w:t>
      </w:r>
      <w:r>
        <w:t xml:space="preserve"> </w:t>
      </w:r>
      <w:hyperlink r:id="rId60">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 that it cannot show a direct causal link between violent video games and harm to minors. Rather, relying upon our decision in</w:t>
      </w:r>
      <w:r>
        <w:t xml:space="preserve"> </w:t>
      </w:r>
      <w:hyperlink r:id="rId61">
        <w:r>
          <w:rPr>
            <w:i/>
            <w:rStyle w:val="Hyperlink"/>
          </w:rPr>
          <w:t xml:space="preserve">Turner Broadcasting System, Inc. v. FCC,</w:t>
        </w:r>
        <w:r>
          <w:rPr>
            <w:rStyle w:val="Hyperlink"/>
          </w:rPr>
          <w:t xml:space="preserve"> </w:t>
        </w:r>
        <w:r>
          <w:rPr>
            <w:rStyle w:val="Hyperlink"/>
          </w:rPr>
          <w:t xml:space="preserve">(S.Ct.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60">
        <w:r>
          <w:rPr>
            <w:i/>
            <w:rStyle w:val="Hyperlink"/>
          </w:rPr>
          <w:t xml:space="preserve">Playboy, supra,</w:t>
        </w:r>
      </w:hyperlink>
      <w:r>
        <w:t xml:space="preserve"> </w:t>
      </w:r>
      <w:r>
        <w:t xml:space="preserve">ambiguous proof will not suffice.</w:t>
      </w:r>
    </w:p>
    <w:p>
      <w:pPr>
        <w:pStyle w:val="BodyText"/>
      </w:pPr>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hyperlink r:id="rId39">
        <w:r>
          <w:rPr>
            <w:i/>
            <w:rStyle w:val="Hyperlink"/>
          </w:rPr>
          <w:t xml:space="preserve">Video Software Dealers Assn.</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pPr>
        <w:pStyle w:val="BodyText"/>
      </w:pPr>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pPr>
        <w:pStyle w:val="BodyText"/>
      </w:pPr>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2">
        <w:r>
          <w:rPr>
            <w:i/>
            <w:rStyle w:val="Hyperlink"/>
          </w:rPr>
          <w:t xml:space="preserve">City of Ladue v. Gilleo,</w:t>
        </w:r>
        <w:r>
          <w:rPr>
            <w:rStyle w:val="Hyperlink"/>
          </w:rPr>
          <w:t xml:space="preserve"> </w:t>
        </w:r>
        <w:r>
          <w:rPr>
            <w:rStyle w:val="Hyperlink"/>
          </w:rPr>
          <w:t xml:space="preserve">(S.Ct. 1994)</w:t>
        </w:r>
      </w:hyperlink>
      <w:r>
        <w:t xml:space="preserve">;</w:t>
      </w:r>
      <w:r>
        <w:t xml:space="preserve"> </w:t>
      </w:r>
      <w:hyperlink r:id="rId63">
        <w:r>
          <w:rPr>
            <w:i/>
            <w:rStyle w:val="Hyperlink"/>
          </w:rPr>
          <w:t xml:space="preserve">Florida Star v. B.J.F.,</w:t>
        </w:r>
        <w:r>
          <w:rPr>
            <w:rStyle w:val="Hyperlink"/>
          </w:rPr>
          <w:t xml:space="preserve"> </w:t>
        </w:r>
        <w:r>
          <w:rPr>
            <w:rStyle w:val="Hyperlink"/>
          </w:rPr>
          <w:t xml:space="preserve">(S.Ct. 1989)</w:t>
        </w:r>
      </w:hyperlink>
      <w:r>
        <w:t xml:space="preserve">. Here, California has singled out the purveyors of video games for disfavored treatment--at least when compared to booksellers, cartoonists, and movie producers--and has given no persuasive reason why.</w:t>
      </w:r>
    </w:p>
    <w:p>
      <w:pPr>
        <w:pStyle w:val="BodyText"/>
      </w:pPr>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pPr>
        <w:pStyle w:val="BodyText"/>
      </w:pPr>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5">
        <w:r>
          <w:rPr>
            <w:i/>
            <w:rStyle w:val="Hyperlink"/>
          </w:rPr>
          <w:t xml:space="preserve">Erznoznik,</w:t>
        </w:r>
      </w:hyperlink>
      <w:r>
        <w:t xml:space="preserve">.</w:t>
      </w:r>
    </w:p>
    <w:p>
      <w:pPr>
        <w:pStyle w:val="BodyText"/>
      </w:pPr>
      <w:r>
        <w:t xml:space="preserve">But leaving that aside, California cannot show that the Act's restrictions meet a substantial need of parents who wish to restrict their children's access to violent video games but cannot do so. The video-game industry has put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pPr>
        <w:pStyle w:val="BodyText"/>
      </w:pPr>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4" w:name="section"/>
      <w:bookmarkEnd w:id="64"/>
      <w:r>
        <w:t xml:space="preserve">* * *</w:t>
      </w:r>
    </w:p>
    <w:p>
      <w:pPr>
        <w:pStyle w:val="FirstParagraph"/>
      </w:pPr>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9">
        <w:r>
          <w:rPr>
            <w:i/>
            <w:rStyle w:val="Hyperlink"/>
          </w:rPr>
          <w:t xml:space="preserve">Chaplinsky,</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pPr>
        <w:pStyle w:val="BodyText"/>
      </w:pPr>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nor seriously overinclusive. See</w:t>
      </w:r>
      <w:r>
        <w:t xml:space="preserve"> </w:t>
      </w:r>
      <w:hyperlink r:id="rId65">
        <w:r>
          <w:rPr>
            <w:i/>
            <w:rStyle w:val="Hyperlink"/>
          </w:rPr>
          <w:t xml:space="preserve">Church of Lukumi Babalu Aye, Inc. v. Hialeah,</w:t>
        </w:r>
        <w:r>
          <w:rPr>
            <w:rStyle w:val="Hyperlink"/>
          </w:rPr>
          <w:t xml:space="preserve"> </w:t>
        </w:r>
        <w:r>
          <w:rPr>
            <w:rStyle w:val="Hyperlink"/>
          </w:rPr>
          <w:t xml:space="preserve">(S.Ct.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BodyText"/>
      </w:pPr>
      <w:r>
        <w:t xml:space="preserve">Justice SCALIA delivered the opinion of the Court.</w:t>
      </w:r>
    </w:p>
    <w:p>
      <w:pPr>
        <w:pStyle w:val="Heading4"/>
      </w:pPr>
      <w:bookmarkStart w:id="66" w:name="brown-could-have-gone-the-other-way"/>
      <w:bookmarkEnd w:id="66"/>
      <w:r>
        <w:rPr>
          <w:i/>
        </w:rPr>
        <w:t xml:space="preserve">Brown</w:t>
      </w:r>
      <w:r>
        <w:t xml:space="preserve"> </w:t>
      </w:r>
      <w:r>
        <w:t xml:space="preserve">Could Have Gone The Other Way?</w:t>
      </w:r>
    </w:p>
    <w:p>
      <w:pPr>
        <w:pStyle w:val="FirstParagraph"/>
      </w:pPr>
      <w:r>
        <w:t xml:space="preserve">[The Supreme Court Came Alarmingly Close to Allowing Video Game Censorship][http://www.slate.com/blogs/future_tense/2015/01/07/elena_kagan_reveals_the_supreme_court_came_close_to_allowing_video_game.html?wpsrc=fol_tw]</w:t>
      </w:r>
    </w:p>
    <w:p>
      <w:pPr>
        <w:pStyle w:val="BodyText"/>
      </w:pPr>
      <w:r>
        <w:t xml:space="preserve">By Mark Joseph Stern</w:t>
      </w:r>
    </w:p>
    <w:p>
      <w:pPr>
        <w:pStyle w:val="BlockText"/>
      </w:pPr>
      <w:r>
        <w:t xml:space="preserve">It could have been very, very different. On Monday, Ars Technica unearthed remarks by Justice Elena Kagan at a Princeton forum in November. When asked about the toughest case she’d yet decided, Kagan cited EMA, noting that “I kept on going back and forth and back and forth.” Her intuition, Kagan said, told her that California’s law “was OK,” but free-speech principles required her to invalidate the law. “That is the one case,” Kagan added, “where I kind of think I just don’t know. I just don’t know if that’s right.”</w:t>
      </w:r>
    </w:p>
    <w:p>
      <w:pPr>
        <w:pStyle w:val="Heading2"/>
      </w:pPr>
      <w:bookmarkStart w:id="67" w:name="civil-liability-for-inciting-violence"/>
      <w:bookmarkEnd w:id="67"/>
      <w:r>
        <w:t xml:space="preserve">Civil Liability For Inciting Violence?</w:t>
      </w:r>
    </w:p>
    <w:p>
      <w:pPr>
        <w:pStyle w:val="FirstParagraph"/>
      </w:pPr>
      <w:r>
        <w:t xml:space="preserve">So much for government as censor of violence,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pPr>
        <w:pStyle w:val="BodyText"/>
      </w:pPr>
      <w:r>
        <w:t xml:space="preserve">If the First Amendment prevents states from regulating violent entertainment products, what about suing the manufacturers of such products after the fact? But here too, the First Amendment, as well as well-settled principles of tort law (duty, foreseeability, causation), have so far prevented victims and family members 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68">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 "causing" 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69" w:name="davidson-v.-time-warner-inc."/>
      <w:bookmarkEnd w:id="69"/>
      <w:r>
        <w:rPr>
          <w:i/>
        </w:rPr>
        <w:t xml:space="preserve">Davidson v. Time Warner, Inc.</w:t>
      </w:r>
    </w:p>
    <w:p>
      <w:pPr>
        <w:pStyle w:val="Heading6"/>
      </w:pPr>
      <w:bookmarkStart w:id="70" w:name="us-district-court-s.d.-texas-1997"/>
      <w:bookmarkEnd w:id="70"/>
      <w:r>
        <w:t xml:space="preserve">US District Court, S.D. Texas (1997)</w:t>
      </w:r>
    </w:p>
    <w:p>
      <w:pPr>
        <w:pStyle w:val="FirstParagraph"/>
      </w:pPr>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See</w:t>
      </w:r>
      <w:r>
        <w:t xml:space="preserve"> </w:t>
      </w:r>
      <w:hyperlink r:id="rId71">
        <w:r>
          <w:rPr>
            <w:rStyle w:val="Hyperlink"/>
          </w:rPr>
          <w:t xml:space="preserve">Hess v. Indiana (S.Ct. 1973)</w:t>
        </w:r>
      </w:hyperlink>
      <w:r>
        <w:t xml:space="preserve">.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BodyText"/>
      </w:pPr>
      <w:r>
        <w:t xml:space="preserve">Now I could be a crooked nigga too</w:t>
      </w:r>
      <w:r>
        <w:br w:type="textWrapping"/>
      </w:r>
      <w:r>
        <w:t xml:space="preserve">When I'm rollin with my crew</w:t>
      </w:r>
      <w:r>
        <w:br w:type="textWrapping"/>
      </w:r>
      <w:r>
        <w:t xml:space="preserve">Watch what crooked niggas do</w:t>
      </w:r>
      <w:r>
        <w:br w:type="textWrapping"/>
      </w:r>
      <w:r>
        <w:t xml:space="preserve">I got a nine millimeter Glock pistol</w:t>
      </w:r>
      <w:r>
        <w:br w:type="textWrapping"/>
      </w:r>
      <w:r>
        <w:t xml:space="preserve">I'm ready to get with you at the trip of the whistle</w:t>
      </w:r>
      <w:r>
        <w:br w:type="textWrapping"/>
      </w:r>
      <w:r>
        <w:t xml:space="preserve">So make your move and act like you wanna flip</w:t>
      </w:r>
      <w:r>
        <w:br w:type="textWrapping"/>
      </w:r>
      <w:r>
        <w:t xml:space="preserve">I fired 13 shots and popped another clip</w:t>
      </w:r>
      <w:r>
        <w:br w:type="textWrapping"/>
      </w:r>
      <w:r>
        <w:t xml:space="preserve">My brain locks, my Glock's like a f—kin mop,</w:t>
      </w:r>
      <w:r>
        <w:br w:type="textWrapping"/>
      </w:r>
      <w:r>
        <w:t xml:space="preserve">The more I shot, the more mothaf—ka's dropped</w:t>
      </w:r>
      <w:r>
        <w:br w:type="textWrapping"/>
      </w:r>
      <w:r>
        <w:t xml:space="preserve">And even cops got shot when they rolled up.</w:t>
      </w:r>
    </w:p>
    <w:p>
      <w:pPr>
        <w:pStyle w:val="BodyText"/>
      </w:pPr>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 “gangsta” 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72" w:name="james-v.-meow-media-inc"/>
      <w:bookmarkEnd w:id="72"/>
      <w:r>
        <w:rPr>
          <w:i/>
        </w:rPr>
        <w:t xml:space="preserve">James v. Meow Media, Inc</w:t>
      </w:r>
    </w:p>
    <w:p>
      <w:pPr>
        <w:pStyle w:val="Heading6"/>
      </w:pPr>
      <w:bookmarkStart w:id="73" w:name="sixth-circuit-court-of-appeals-2002"/>
      <w:bookmarkEnd w:id="73"/>
      <w:r>
        <w:t xml:space="preserve">Sixth Circuit Court of Appeals (2002)</w:t>
      </w:r>
    </w:p>
    <w:p>
      <w:pPr>
        <w:pStyle w:val="Compact"/>
        <w:numPr>
          <w:numId w:val="1002"/>
          <w:ilvl w:val="0"/>
        </w:numPr>
      </w:pPr>
      <w:hyperlink r:id="rId74">
        <w:r>
          <w:rPr>
            <w:rStyle w:val="Hyperlink"/>
          </w:rPr>
          <w:t xml:space="preserve">case at Google Scholar</w:t>
        </w:r>
      </w:hyperlink>
    </w:p>
    <w:p>
      <w:pPr>
        <w:pStyle w:val="Compact"/>
        <w:numPr>
          <w:numId w:val="1002"/>
          <w:ilvl w:val="0"/>
        </w:numPr>
      </w:pPr>
      <w:hyperlink r:id="rId75">
        <w:r>
          <w:rPr>
            <w:rStyle w:val="Hyperlink"/>
          </w:rPr>
          <w:t xml:space="preserve">how cited at Google Scholar</w:t>
        </w:r>
      </w:hyperlink>
    </w:p>
    <w:p>
      <w:pPr>
        <w:pStyle w:val="Compact"/>
        <w:numPr>
          <w:numId w:val="1002"/>
          <w:ilvl w:val="0"/>
        </w:numPr>
      </w:pPr>
      <w:hyperlink r:id="rId76">
        <w:r>
          <w:rPr>
            <w:rStyle w:val="Hyperlink"/>
          </w:rPr>
          <w:t xml:space="preserve">case at Westlaw</w:t>
        </w:r>
      </w:hyperlink>
    </w:p>
    <w:p>
      <w:pPr>
        <w:pStyle w:val="Compact"/>
        <w:numPr>
          <w:numId w:val="1002"/>
          <w:ilvl w:val="0"/>
        </w:numPr>
      </w:pPr>
      <w:hyperlink r:id="rId77">
        <w:r>
          <w:rPr>
            <w:rStyle w:val="Hyperlink"/>
          </w:rPr>
          <w:t xml:space="preserve">case at Wikipedia</w:t>
        </w:r>
      </w:hyperlink>
      <w:r>
        <w:t xml:space="preserve">.</w:t>
      </w:r>
    </w:p>
    <w:p>
      <w:pPr>
        <w:pStyle w:val="Heading3"/>
      </w:pPr>
      <w:bookmarkStart w:id="78" w:name="i-1"/>
      <w:bookmarkEnd w:id="78"/>
      <w:r>
        <w:t xml:space="preserve">I</w:t>
      </w:r>
    </w:p>
    <w:p>
      <w:pPr>
        <w:pStyle w:val="FirstParagraph"/>
      </w:pPr>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pPr>
        <w:pStyle w:val="BodyText"/>
      </w:pPr>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pPr>
        <w:pStyle w:val="BodyText"/>
      </w:pPr>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pPr>
        <w:pStyle w:val="BodyText"/>
      </w:pPr>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pPr>
        <w:pStyle w:val="BodyText"/>
      </w:pPr>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pPr>
        <w:pStyle w:val="BodyText"/>
      </w:pPr>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pPr>
        <w:pStyle w:val="BodyText"/>
      </w:pPr>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pPr>
        <w:pStyle w:val="BodyText"/>
      </w:pPr>
      <w:r>
        <w:t xml:space="preserve">[Section II setting forth the standard of review omitted.]</w:t>
      </w:r>
    </w:p>
    <w:p>
      <w:pPr>
        <w:pStyle w:val="Heading3"/>
      </w:pPr>
      <w:bookmarkStart w:id="79" w:name="iii-1"/>
      <w:bookmarkEnd w:id="79"/>
      <w:r>
        <w:t xml:space="preserve">III</w:t>
      </w:r>
    </w:p>
    <w:p>
      <w:pPr>
        <w:pStyle w:val="FirstParagraph"/>
      </w:pPr>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80" w:name="a.-the-existence-of-a-duty-of-care"/>
      <w:bookmarkEnd w:id="80"/>
      <w:r>
        <w:t xml:space="preserve">A. The Existence of a Duty of Care</w:t>
      </w:r>
    </w:p>
    <w:p>
      <w:pPr>
        <w:pStyle w:val="FirstParagraph"/>
      </w:pPr>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pPr>
        <w:pStyle w:val="BodyText"/>
      </w:pPr>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81">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pPr>
        <w:pStyle w:val="BodyText"/>
      </w:pPr>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pPr>
        <w:pStyle w:val="BodyText"/>
      </w:pPr>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pPr>
        <w:pStyle w:val="BodyText"/>
      </w:pPr>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held that an automobile accident injuring third parties was a</w:t>
      </w:r>
      <w:r>
        <w:t xml:space="preserve"> </w:t>
      </w:r>
      <w:hyperlink r:id="rId82">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83">
        <w:r>
          <w:rPr>
            <w:rStyle w:val="Hyperlink"/>
          </w:rPr>
          <w:t xml:space="preserve">an intoxicated patron fighting 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pPr>
        <w:pStyle w:val="BodyText"/>
      </w:pPr>
      <w:r>
        <w:t xml:space="preserve">This court has encountered this foreseeability inquiry under Kentucky law before in a situation similar to this case. In</w:t>
      </w:r>
      <w:r>
        <w:t xml:space="preserve"> </w:t>
      </w:r>
      <w:hyperlink r:id="rId84">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pPr>
        <w:pStyle w:val="BodyText"/>
      </w:pPr>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pPr>
        <w:pStyle w:val="BodyText"/>
      </w:pPr>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pPr>
        <w:pStyle w:val="BodyText"/>
      </w:pPr>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5" w:name="the-duty-to-protect-against-intentional-criminal-actions"/>
      <w:bookmarkEnd w:id="85"/>
      <w:r>
        <w:t xml:space="preserve">1. The Duty to Protect Against Intentional Criminal Actions</w:t>
      </w:r>
    </w:p>
    <w:p>
      <w:pPr>
        <w:pStyle w:val="FirstParagraph"/>
      </w:pPr>
      <w:r>
        <w:t xml:space="preserve">First, courts have held that, except under extraordinary circumstances, individuals are generally entitled to assume that third parties will not commit intentional criminal acts …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pPr>
        <w:pStyle w:val="BodyText"/>
      </w:pPr>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pPr>
        <w:pStyle w:val="BodyText"/>
      </w:pPr>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pPr>
        <w:pStyle w:val="BodyText"/>
      </w:pPr>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pPr>
        <w:pStyle w:val="BodyText"/>
      </w:pPr>
      <w:r>
        <w:t xml:space="preserve">We can find nothing close to a "special relationship" in this case. The defendants did not even know James, Steger, and Hadley prior to Carneal's actions, much less take any affirmative steps that disabled them from protecting themselves.</w:t>
      </w:r>
    </w:p>
    <w:p>
      <w:pPr>
        <w:pStyle w:val="BodyText"/>
      </w:pPr>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6">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87">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8">
        <w:r>
          <w:rPr>
            <w:i/>
            <w:rStyle w:val="Hyperlink"/>
          </w:rPr>
          <w:t xml:space="preserve">Meers v. McDowell,</w:t>
        </w:r>
        <w:r>
          <w:rPr>
            <w:rStyle w:val="Hyperlink"/>
          </w:rPr>
          <w:t xml:space="preserve"> </w:t>
        </w:r>
        <w:r>
          <w:rPr>
            <w:rStyle w:val="Hyperlink"/>
          </w:rPr>
          <w:t xml:space="preserve">(KY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pPr>
        <w:pStyle w:val="BodyText"/>
      </w:pPr>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89" w:name="first-amendment-problems"/>
      <w:bookmarkEnd w:id="89"/>
      <w:r>
        <w:t xml:space="preserve">2. First Amendment Problems</w:t>
      </w:r>
    </w:p>
    <w:p>
      <w:pPr>
        <w:pStyle w:val="FirstParagraph"/>
      </w:pPr>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90">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 reasoned discussion of the public affairs, but may also be for purposes of entertainment.]</w:t>
      </w:r>
    </w:p>
    <w:p>
      <w:pPr>
        <w:pStyle w:val="FirstParagraph"/>
      </w:pPr>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91">
        <w:r>
          <w:rPr>
            <w:i/>
            <w:rStyle w:val="Hyperlink"/>
          </w:rPr>
          <w:t xml:space="preserve">Sable Communications v. FCC,</w:t>
        </w:r>
        <w:r>
          <w:rPr>
            <w:rStyle w:val="Hyperlink"/>
          </w:rPr>
          <w:t xml:space="preserve"> </w:t>
        </w:r>
        <w:r>
          <w:rPr>
            <w:rStyle w:val="Hyperlink"/>
          </w:rPr>
          <w:t xml:space="preserve">(S.Ct. 1989)</w:t>
        </w:r>
      </w:hyperlink>
      <w:r>
        <w:t xml:space="preserve">;</w:t>
      </w:r>
      <w:r>
        <w:t xml:space="preserve"> </w:t>
      </w:r>
      <w:hyperlink r:id="rId92">
        <w:r>
          <w:rPr>
            <w:i/>
            <w:rStyle w:val="Hyperlink"/>
          </w:rPr>
          <w:t xml:space="preserve">Connection Distrib. Co. v. Reno,</w:t>
        </w:r>
        <w:r>
          <w:rPr>
            <w:rStyle w:val="Hyperlink"/>
          </w:rPr>
          <w:t xml:space="preserve"> </w:t>
        </w:r>
        <w:r>
          <w:rPr>
            <w:rStyle w:val="Hyperlink"/>
          </w:rPr>
          <w:t xml:space="preserve">(6th Cir. 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93">
        <w:r>
          <w:rPr>
            <w:i/>
            <w:rStyle w:val="Hyperlink"/>
          </w:rPr>
          <w:t xml:space="preserve">Reno v. American Civil Liberties Union,</w:t>
        </w:r>
        <w:r>
          <w:rPr>
            <w:rStyle w:val="Hyperlink"/>
          </w:rPr>
          <w:t xml:space="preserve"> </w:t>
        </w:r>
        <w:r>
          <w:rPr>
            <w:rStyle w:val="Hyperlink"/>
          </w:rPr>
          <w:t xml:space="preserve">(S.Ct. 1997)</w:t>
        </w:r>
      </w:hyperlink>
      <w:r>
        <w:t xml:space="preserve">;</w:t>
      </w:r>
      <w:r>
        <w:t xml:space="preserve"> </w:t>
      </w:r>
      <w:hyperlink r:id="rId94">
        <w:r>
          <w:rPr>
            <w:i/>
            <w:rStyle w:val="Hyperlink"/>
          </w:rPr>
          <w:t xml:space="preserve">United States v. Playboy Entm't Group, Inc.,</w:t>
        </w:r>
        <w:r>
          <w:rPr>
            <w:rStyle w:val="Hyperlink"/>
          </w:rPr>
          <w:t xml:space="preserve"> </w:t>
        </w:r>
        <w:r>
          <w:rPr>
            <w:rStyle w:val="Hyperlink"/>
          </w:rPr>
          <w:t xml:space="preserve">(S.Ct. 2000)</w:t>
        </w:r>
      </w:hyperlink>
      <w:r>
        <w:t xml:space="preserve">;</w:t>
      </w:r>
      <w:r>
        <w:t xml:space="preserve"> </w:t>
      </w:r>
      <w:hyperlink r:id="rId95">
        <w:r>
          <w:rPr>
            <w:i/>
            <w:rStyle w:val="Hyperlink"/>
          </w:rPr>
          <w:t xml:space="preserve">Connection Distrib.,</w:t>
        </w:r>
      </w:hyperlink>
      <w:r>
        <w:t xml:space="preserve">.</w:t>
      </w:r>
    </w:p>
    <w:p>
      <w:pPr>
        <w:pStyle w:val="BodyText"/>
      </w:pPr>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pPr>
        <w:pStyle w:val="BodyText"/>
      </w:pPr>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pPr>
        <w:pStyle w:val="BodyText"/>
      </w:pPr>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6">
        <w:r>
          <w:rPr>
            <w:i/>
            <w:rStyle w:val="Hyperlink"/>
          </w:rPr>
          <w:t xml:space="preserve">Paris Adult Theatre I v. Slaton,</w:t>
        </w:r>
        <w:r>
          <w:rPr>
            <w:rStyle w:val="Hyperlink"/>
          </w:rPr>
          <w:t xml:space="preserve"> </w:t>
        </w:r>
        <w:r>
          <w:rPr>
            <w:rStyle w:val="Hyperlink"/>
          </w:rPr>
          <w:t xml:space="preserve">(S.Ct.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7">
        <w:r>
          <w:rPr>
            <w:i/>
            <w:rStyle w:val="Hyperlink"/>
          </w:rPr>
          <w:t xml:space="preserve">Miller v. California,</w:t>
        </w:r>
        <w:r>
          <w:rPr>
            <w:rStyle w:val="Hyperlink"/>
          </w:rPr>
          <w:t xml:space="preserve"> </w:t>
        </w:r>
        <w:r>
          <w:rPr>
            <w:rStyle w:val="Hyperlink"/>
          </w:rPr>
          <w:t xml:space="preserve">(S.Ct. 1973)</w:t>
        </w:r>
      </w:hyperlink>
      <w:r>
        <w:t xml:space="preserve"> </w:t>
      </w:r>
      <w:r>
        <w:t xml:space="preserve">("We now confine the scope of [obscene material] to works which depict or describe sexual conduct.");</w:t>
      </w:r>
      <w:r>
        <w:t xml:space="preserve"> </w:t>
      </w:r>
      <w:hyperlink r:id="rId98">
        <w:r>
          <w:rPr>
            <w:i/>
            <w:rStyle w:val="Hyperlink"/>
          </w:rPr>
          <w:t xml:space="preserve">United States v. Thoma,</w:t>
        </w:r>
        <w:r>
          <w:rPr>
            <w:rStyle w:val="Hyperlink"/>
          </w:rPr>
          <w:t xml:space="preserve"> </w:t>
        </w:r>
        <w:r>
          <w:rPr>
            <w:rStyle w:val="Hyperlink"/>
          </w:rPr>
          <w:t xml:space="preserve">(7th Cir. 1984)</w:t>
        </w:r>
      </w:hyperlink>
      <w:r>
        <w:t xml:space="preserve"> </w:t>
      </w:r>
      <w:r>
        <w:t xml:space="preserve">(holding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99">
        <w:r>
          <w:rPr>
            <w:i/>
            <w:rStyle w:val="Hyperlink"/>
          </w:rPr>
          <w:t xml:space="preserve">American Amusement Mach. Ass'n v. Kendrick,</w:t>
        </w:r>
        <w:r>
          <w:rPr>
            <w:rStyle w:val="Hyperlink"/>
          </w:rPr>
          <w:t xml:space="preserve"> </w:t>
        </w:r>
        <w:r>
          <w:rPr>
            <w:rStyle w:val="Hyperlink"/>
          </w:rPr>
          <w:t xml:space="preserve">(7th Cir. 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100">
        <w:r>
          <w:rPr>
            <w:i/>
            <w:rStyle w:val="Hyperlink"/>
          </w:rPr>
          <w:t xml:space="preserve">R.A.V. v. City of St. Paul,</w:t>
        </w:r>
        <w:r>
          <w:rPr>
            <w:rStyle w:val="Hyperlink"/>
          </w:rPr>
          <w:t xml:space="preserve"> </w:t>
        </w:r>
        <w:r>
          <w:rPr>
            <w:rStyle w:val="Hyperlink"/>
          </w:rPr>
          <w:t xml:space="preserve">(S.Ct. 1992)</w:t>
        </w:r>
      </w:hyperlink>
      <w:r>
        <w:t xml:space="preserve">. The Court firmly set out the test for whether speech constitutes unprotected incitement to violence in</w:t>
      </w:r>
      <w:r>
        <w:t xml:space="preserve"> </w:t>
      </w:r>
      <w:hyperlink r:id="rId101">
        <w:r>
          <w:rPr>
            <w:i/>
            <w:rStyle w:val="Hyperlink"/>
          </w:rPr>
          <w:t xml:space="preserve">Brandenburg v. Ohio,</w:t>
        </w:r>
        <w:r>
          <w:rPr>
            <w:rStyle w:val="Hyperlink"/>
          </w:rPr>
          <w:t xml:space="preserve"> </w:t>
        </w:r>
        <w:r>
          <w:rPr>
            <w:rStyle w:val="Hyperlink"/>
          </w:rPr>
          <w:t xml:space="preserve">(S.Ct.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102">
        <w:r>
          <w:rPr>
            <w:i/>
            <w:rStyle w:val="Hyperlink"/>
          </w:rPr>
          <w:t xml:space="preserve">Hess v. Indiana,</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103">
        <w:r>
          <w:rPr>
            <w:i/>
            <w:rStyle w:val="Hyper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104">
        <w:r>
          <w:rPr>
            <w:i/>
            <w:rStyle w:val="Hyperlink"/>
          </w:rPr>
          <w:t xml:space="preserve">McCoy v. Stewart,</w:t>
        </w:r>
        <w:r>
          <w:rPr>
            <w:rStyle w:val="Hyperlink"/>
          </w:rPr>
          <w:t xml:space="preserve"> </w:t>
        </w:r>
        <w:r>
          <w:rPr>
            <w:rStyle w:val="Hyperlink"/>
          </w:rPr>
          <w:t xml:space="preserve">(9th Cir. 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105">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6">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pPr>
        <w:pStyle w:val="BodyText"/>
      </w:pPr>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pPr>
        <w:pStyle w:val="BodyText"/>
      </w:pPr>
      <w:r>
        <w:t xml:space="preserve">[The court's discussion of proximate causation omitted.]</w:t>
      </w:r>
    </w:p>
    <w:p>
      <w:pPr>
        <w:pStyle w:val="Heading3"/>
      </w:pPr>
      <w:bookmarkStart w:id="107" w:name="iv"/>
      <w:bookmarkEnd w:id="107"/>
      <w:r>
        <w:t xml:space="preserve">IV</w:t>
      </w:r>
    </w:p>
    <w:p>
      <w:pPr>
        <w:pStyle w:val="FirstParagraph"/>
      </w:pPr>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8">
        <w:r>
          <w:rPr>
            <w:i/>
            <w:rStyle w:val="Hyperlink"/>
          </w:rPr>
          <w:t xml:space="preserve">Clark v. Hauck Mfg. Co.,</w:t>
        </w:r>
        <w:r>
          <w:rPr>
            <w:rStyle w:val="Hyperlink"/>
          </w:rPr>
          <w:t xml:space="preserve"> </w:t>
        </w:r>
        <w:r>
          <w:rPr>
            <w:rStyle w:val="Hyperlink"/>
          </w:rPr>
          <w:t xml:space="preserve">(KY 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pPr>
        <w:pStyle w:val="BodyText"/>
      </w:pPr>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09">
        <w:r>
          <w:rPr>
            <w:i/>
            <w:rStyle w:val="Hyperlink"/>
          </w:rPr>
          <w:t xml:space="preserve">Embs v. Pepsi-Cola Bottling Co. of Lexington,</w:t>
        </w:r>
        <w:r>
          <w:rPr>
            <w:rStyle w:val="Hyperlink"/>
          </w:rPr>
          <w:t xml:space="preserve"> </w:t>
        </w:r>
        <w:r>
          <w:rPr>
            <w:rStyle w:val="Hyperlink"/>
          </w:rPr>
          <w:t xml:space="preserve">(KY 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pPr>
        <w:pStyle w:val="BodyText"/>
      </w:pPr>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pPr>
        <w:pStyle w:val="BodyText"/>
      </w:pPr>
      <w:r>
        <w:t xml:space="preserve">This court has already substantially resolved the question of Kentucky law presented. In</w:t>
      </w:r>
      <w:r>
        <w:t xml:space="preserve"> </w:t>
      </w:r>
      <w:hyperlink r:id="rId84">
        <w:r>
          <w:rPr>
            <w:i/>
            <w:rStyle w:val="Hyperlink"/>
          </w:rPr>
          <w:t xml:space="preserve">Watters v. TSR,</w:t>
        </w:r>
        <w:r>
          <w:rPr>
            <w:rStyle w:val="Hyperlink"/>
          </w:rPr>
          <w:t xml:space="preserve"> </w:t>
        </w:r>
        <w:r>
          <w:rPr>
            <w:rStyle w:val="Hyperlink"/>
          </w:rPr>
          <w:t xml:space="preserve">(6th Cir. 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pPr>
        <w:pStyle w:val="BodyText"/>
      </w:pPr>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10">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 between the internet transmissions and the electricity.</w:t>
      </w:r>
    </w:p>
    <w:p>
      <w:pPr>
        <w:pStyle w:val="BodyText"/>
      </w:pPr>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pPr>
        <w:pStyle w:val="BodyText"/>
      </w:pPr>
      <w:r>
        <w:t xml:space="preserve">[</w:t>
      </w:r>
      <w:r>
        <w:rPr>
          <w:i/>
        </w:rPr>
        <w:t xml:space="preserve">See, e.g.,</w:t>
      </w:r>
      <w:r>
        <w:t xml:space="preserve"> </w:t>
      </w:r>
      <w:hyperlink r:id="rId111">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12">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13" w:name="v"/>
      <w:bookmarkEnd w:id="113"/>
      <w:r>
        <w:t xml:space="preserve">V</w:t>
      </w:r>
    </w:p>
    <w:p>
      <w:pPr>
        <w:pStyle w:val="FirstParagraph"/>
      </w:pPr>
      <w:r>
        <w:t xml:space="preserve">For all the foregoing reasons, we AFFIRM the district court's dismissal of all James's claims.</w:t>
      </w:r>
    </w:p>
    <w:p>
      <w:pPr>
        <w:pStyle w:val="Heading2"/>
      </w:pPr>
      <w:bookmarkStart w:id="114" w:name="herceg-v.-hustler-magazine-inc."/>
      <w:bookmarkEnd w:id="114"/>
      <w:r>
        <w:rPr>
          <w:i/>
        </w:rPr>
        <w:t xml:space="preserve">Herceg v. Hustler Magazine, Inc.</w:t>
      </w:r>
    </w:p>
    <w:p>
      <w:pPr>
        <w:pStyle w:val="Heading6"/>
      </w:pPr>
      <w:bookmarkStart w:id="115" w:name="fifth-circuit-court-of-appeals-1987"/>
      <w:bookmarkEnd w:id="115"/>
      <w:r>
        <w:t xml:space="preserve">Fifth Circuit Court of Appeals (1987)</w:t>
      </w:r>
    </w:p>
    <w:p>
      <w:pPr>
        <w:pStyle w:val="Compact"/>
        <w:numPr>
          <w:numId w:val="1003"/>
          <w:ilvl w:val="0"/>
        </w:numPr>
      </w:pPr>
      <w:hyperlink r:id="rId116">
        <w:r>
          <w:rPr>
            <w:rStyle w:val="Hyperlink"/>
          </w:rPr>
          <w:t xml:space="preserve">case at Google Scholar</w:t>
        </w:r>
      </w:hyperlink>
    </w:p>
    <w:p>
      <w:pPr>
        <w:pStyle w:val="Compact"/>
        <w:numPr>
          <w:numId w:val="1003"/>
          <w:ilvl w:val="0"/>
        </w:numPr>
      </w:pPr>
      <w:hyperlink r:id="rId117">
        <w:r>
          <w:rPr>
            <w:rStyle w:val="Hyperlink"/>
          </w:rPr>
          <w:t xml:space="preserve">case at Westlaw</w:t>
        </w:r>
      </w:hyperlink>
    </w:p>
    <w:p>
      <w:pPr>
        <w:pStyle w:val="Compact"/>
        <w:numPr>
          <w:numId w:val="1003"/>
          <w:ilvl w:val="0"/>
        </w:numPr>
      </w:pPr>
      <w:hyperlink r:id="rId25">
        <w:r>
          <w:rPr>
            <w:rStyle w:val="Hyperlink"/>
          </w:rPr>
          <w:t xml:space="preserve">Erotic asphyxiation at Wikipedia</w:t>
        </w:r>
      </w:hyperlink>
      <w:r>
        <w:t xml:space="preserve">.</w:t>
      </w:r>
    </w:p>
    <w:p>
      <w:pPr>
        <w:pStyle w:val="FirstParagraph"/>
      </w:pPr>
      <w:r>
        <w:t xml:space="preserve">An adolescent read a magazine article that prompted him to commit an act that proved fatal. The issue is whether the publisher of the magazine may be held liable for civil damages.</w:t>
      </w:r>
    </w:p>
    <w:p>
      <w:pPr>
        <w:pStyle w:val="BodyText"/>
      </w:pPr>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pPr>
        <w:pStyle w:val="BodyText"/>
      </w:pPr>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pPr>
        <w:pStyle w:val="BodyText"/>
      </w:pPr>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pPr>
        <w:pStyle w:val="BodyText"/>
      </w:pPr>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18" w:name="incitement"/>
      <w:bookmarkEnd w:id="118"/>
      <w:r>
        <w:t xml:space="preserve">Incitement</w:t>
      </w:r>
    </w:p>
    <w:p>
      <w:pPr>
        <w:pStyle w:val="FirstParagraph"/>
      </w:pPr>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impermissebly 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01">
        <w:r>
          <w:rPr>
            <w:i/>
            <w:rStyle w:val="Hyper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pPr>
        <w:pStyle w:val="BodyText"/>
      </w:pPr>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pPr>
        <w:pStyle w:val="BodyText"/>
      </w:pPr>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pPr>
        <w:pStyle w:val="BodyText"/>
      </w:pPr>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19" w:name="civil-liability"/>
      <w:bookmarkEnd w:id="119"/>
      <w:r>
        <w:t xml:space="preserve">Civil Liability?</w:t>
      </w:r>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20">
        <w:r>
          <w:rPr>
            <w:i/>
            <w:rStyle w:val="Hyper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pPr>
        <w:pStyle w:val="BodyText"/>
      </w:pPr>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pPr>
        <w:pStyle w:val="BodyText"/>
      </w:pPr>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pPr>
        <w:pStyle w:val="BodyText"/>
      </w:pPr>
      <w:r>
        <w:t xml:space="preserve">For the reasons stated above, the judgment of the district court is REVERSED.</w:t>
      </w:r>
    </w:p>
    <w:p>
      <w:pPr>
        <w:pStyle w:val="Heading3"/>
      </w:pPr>
      <w:bookmarkStart w:id="121" w:name="concurrence-dissent"/>
      <w:bookmarkEnd w:id="121"/>
      <w:r>
        <w:t xml:space="preserve">Concurrence &amp; Dissent</w:t>
      </w:r>
    </w:p>
    <w:p>
      <w:pPr>
        <w:pStyle w:val="FirstParagraph"/>
      </w:pPr>
      <w:r>
        <w:t xml:space="preserve">EDITH H. JONES, Circuit Judge, Concurring and Dissenting:</w:t>
      </w:r>
    </w:p>
    <w:p>
      <w:pPr>
        <w:pStyle w:val="BodyText"/>
      </w:pPr>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pPr>
        <w:pStyle w:val="BodyText"/>
      </w:pPr>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pPr>
        <w:pStyle w:val="BodyText"/>
      </w:pPr>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22" w:name="i."/>
      <w:bookmarkEnd w:id="122"/>
      <w:r>
        <w:t xml:space="preserve">I.</w:t>
      </w:r>
    </w:p>
    <w:p>
      <w:pPr>
        <w:pStyle w:val="FirstParagraph"/>
      </w:pPr>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pPr>
        <w:pStyle w:val="BodyText"/>
      </w:pPr>
      <w:r>
        <w:t xml:space="preserve">Not only is Hustler's appeal noncognitive, but the magazine derives its profit from that fact. If Hustler stopped being pornographic, its readership would vanish.</w:t>
      </w:r>
    </w:p>
    <w:p>
      <w:pPr>
        <w:pStyle w:val="BodyText"/>
      </w:pPr>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pPr>
        <w:pStyle w:val="BodyText"/>
      </w:pPr>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23" w:name="ii."/>
      <w:bookmarkEnd w:id="123"/>
      <w:r>
        <w:t xml:space="preserve">II.</w:t>
      </w:r>
    </w:p>
    <w:p>
      <w:pPr>
        <w:pStyle w:val="FirstParagraph"/>
      </w:pPr>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pPr>
        <w:pStyle w:val="BodyText"/>
      </w:pPr>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24">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5">
        <w:r>
          <w:rPr>
            <w:i/>
            <w:rStyle w:val="Hyperlink"/>
          </w:rPr>
          <w:t xml:space="preserve">Chaplinsky v. New Hampshire,</w:t>
        </w:r>
        <w:r>
          <w:rPr>
            <w:rStyle w:val="Hyperlink"/>
          </w:rPr>
          <w:t xml:space="preserve"> </w:t>
        </w:r>
        <w:r>
          <w:rPr>
            <w:rStyle w:val="Hyperlink"/>
          </w:rPr>
          <w:t xml:space="preserve">(S.Ct. 1942)</w:t>
        </w:r>
      </w:hyperlink>
      <w:r>
        <w:t xml:space="preserve">. The Supreme Court has also dealt favorably with state regulations designed to protect minors from performing sexual acts by prohibiting distribution of films containing such acts.</w:t>
      </w:r>
      <w:r>
        <w:t xml:space="preserve"> </w:t>
      </w:r>
      <w:hyperlink r:id="rId126">
        <w:r>
          <w:rPr>
            <w:i/>
            <w:rStyle w:val="Hyperlink"/>
          </w:rPr>
          <w:t xml:space="preserve">New York v. Ferber,</w:t>
        </w:r>
        <w:r>
          <w:rPr>
            <w:rStyle w:val="Hyperlink"/>
          </w:rPr>
          <w:t xml:space="preserve"> </w:t>
        </w:r>
        <w:r>
          <w:rPr>
            <w:rStyle w:val="Hyperlink"/>
          </w:rPr>
          <w:t xml:space="preserve">(S.Ct. 1982)</w:t>
        </w:r>
      </w:hyperlink>
      <w:r>
        <w:t xml:space="preserve">. There the Court found it "evident beyond the need for elaboration that a State's interest in `safeguarding the physical and psychological wellbeing of a minor' is `compelling'."</w:t>
      </w:r>
      <w:r>
        <w:t xml:space="preserve"> </w:t>
      </w:r>
      <w:hyperlink r:id="rId126">
        <w:r>
          <w:rPr>
            <w:i/>
            <w:rStyle w:val="Hyperlink"/>
          </w:rPr>
          <w:t xml:space="preserve">Ferber</w:t>
        </w:r>
      </w:hyperlink>
      <w:r>
        <w:t xml:space="preserve"> </w:t>
      </w:r>
      <w:r>
        <w:t xml:space="preserve">(quoting</w:t>
      </w:r>
      <w:r>
        <w:t xml:space="preserve"> </w:t>
      </w:r>
      <w:hyperlink r:id="rId127">
        <w:r>
          <w:rPr>
            <w:i/>
            <w:rStyle w:val="Hyperlink"/>
          </w:rPr>
          <w:t xml:space="preserve">Globe Newspaper Co. v. Superior Court,</w:t>
        </w:r>
        <w:r>
          <w:rPr>
            <w:rStyle w:val="Hyperlink"/>
          </w:rPr>
          <w:t xml:space="preserve"> </w:t>
        </w:r>
        <w:r>
          <w:rPr>
            <w:rStyle w:val="Hyperlink"/>
          </w:rPr>
          <w:t xml:space="preserve">(S.Ct. 1982)</w:t>
        </w:r>
      </w:hyperlink>
      <w:r>
        <w:t xml:space="preserve">). The Court has even gone so far as to uphold an FCC regulation banning "indecent" speech from the airwaves at the times when children would be in the audience.</w:t>
      </w:r>
      <w:r>
        <w:t xml:space="preserve"> </w:t>
      </w:r>
      <w:hyperlink r:id="rId128">
        <w:r>
          <w:rPr>
            <w:i/>
            <w:rStyle w:val="Hyperlink"/>
          </w:rPr>
          <w:t xml:space="preserve">F.C.C. v. Pacifica Foundation,</w:t>
        </w:r>
        <w:r>
          <w:rPr>
            <w:rStyle w:val="Hyperlink"/>
          </w:rPr>
          <w:t xml:space="preserve"> </w:t>
        </w:r>
        <w:r>
          <w:rPr>
            <w:rStyle w:val="Hyperlink"/>
          </w:rPr>
          <w:t xml:space="preserve">(S.Ct.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pPr>
        <w:pStyle w:val="BodyText"/>
      </w:pPr>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hyperlink r:id="rId129">
        <w:r>
          <w:rPr>
            <w:i/>
            <w:rStyle w:val="Hyperlink"/>
          </w:rPr>
          <w:t xml:space="preserve">Gertz</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30">
        <w:r>
          <w:rPr>
            <w:i/>
            <w:rStyle w:val="Hyperlink"/>
          </w:rPr>
          <w:t xml:space="preserve">Connick v. Myers,</w:t>
        </w:r>
        <w:r>
          <w:rPr>
            <w:rStyle w:val="Hyperlink"/>
          </w:rPr>
          <w:t xml:space="preserve"> </w:t>
        </w:r>
        <w:r>
          <w:rPr>
            <w:rStyle w:val="Hyperlink"/>
          </w:rPr>
          <w:t xml:space="preserve">(S.Ct.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pPr>
        <w:pStyle w:val="BodyText"/>
      </w:pPr>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29">
        <w:r>
          <w:rPr>
            <w:i/>
            <w:rStyle w:val="Hyperlink"/>
          </w:rPr>
          <w:t xml:space="preserve">Dun &amp; Bradstreet</w:t>
        </w:r>
      </w:hyperlink>
      <w:r>
        <w:t xml:space="preserve"> </w:t>
      </w:r>
      <w:r>
        <w:t xml:space="preserve">quoting</w:t>
      </w:r>
      <w:r>
        <w:t xml:space="preserve"> </w:t>
      </w:r>
      <w:hyperlink r:id="rId131">
        <w:r>
          <w:rPr>
            <w:i/>
            <w:rStyle w:val="Hyperlink"/>
          </w:rPr>
          <w:t xml:space="preserve">New York 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24">
        <w:r>
          <w:rPr>
            <w:i/>
            <w:rStyle w:val="Hyperlink"/>
          </w:rPr>
          <w:t xml:space="preserve">NAACP v. Claiborne Hardware Co.,</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32">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pPr>
        <w:pStyle w:val="BodyText"/>
      </w:pPr>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pPr>
        <w:pStyle w:val="BodyText"/>
      </w:pPr>
      <w:r>
        <w:t xml:space="preserve">The foregoing analysis immediately differentiates this case from</w:t>
      </w:r>
      <w:r>
        <w:t xml:space="preserve"> </w:t>
      </w:r>
      <w:hyperlink r:id="rId133">
        <w:r>
          <w:rPr>
            <w:i/>
            <w:rStyle w:val="Hyper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134" w:name="iii."/>
      <w:bookmarkEnd w:id="134"/>
      <w:r>
        <w:t xml:space="preserve">III.</w:t>
      </w:r>
    </w:p>
    <w:p>
      <w:pPr>
        <w:pStyle w:val="FirstParagraph"/>
      </w:pPr>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33">
        <w:r>
          <w:rPr>
            <w:i/>
            <w:rStyle w:val="Hyper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pPr>
        <w:pStyle w:val="BodyText"/>
      </w:pPr>
      <w:r>
        <w:t xml:space="preserve">End of excerpts from Judge Edith Grossman's concurring &amp; dissenting opinion.</w:t>
      </w:r>
    </w:p>
    <w:p>
      <w:pPr>
        <w:pStyle w:val="Heading4"/>
      </w:pPr>
      <w:bookmarkStart w:id="135" w:name="note-on-weirum-v.-rko"/>
      <w:bookmarkEnd w:id="135"/>
      <w:r>
        <w:t xml:space="preserve">Note on</w:t>
      </w:r>
      <w:r>
        <w:t xml:space="preserve"> </w:t>
      </w:r>
      <w:r>
        <w:rPr>
          <w:i/>
        </w:rPr>
        <w:t xml:space="preserve">Weirum v. RKO</w:t>
      </w:r>
    </w:p>
    <w:p>
      <w:pPr>
        <w:pStyle w:val="FirstParagraph"/>
      </w:pPr>
      <w:r>
        <w:t xml:space="preserve">In</w:t>
      </w:r>
      <w:r>
        <w:t xml:space="preserve"> </w:t>
      </w:r>
      <w:hyperlink r:id="rId136">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7">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8" w:name="note-on-rice-v.-paladin"/>
      <w:bookmarkEnd w:id="138"/>
      <w:r>
        <w:t xml:space="preserve">Note on</w:t>
      </w:r>
      <w:r>
        <w:t xml:space="preserve"> </w:t>
      </w:r>
      <w:r>
        <w:rPr>
          <w:i/>
        </w:rPr>
        <w:t xml:space="preserve">Rice v. Paladin,</w:t>
      </w:r>
    </w:p>
    <w:p>
      <w:pPr>
        <w:pStyle w:val="Heading6"/>
      </w:pPr>
      <w:bookmarkStart w:id="139" w:name="fourth-circuit-1997"/>
      <w:bookmarkEnd w:id="139"/>
      <w:r>
        <w:t xml:space="preserve">Fourth Circuit (1997)</w:t>
      </w:r>
    </w:p>
    <w:p>
      <w:pPr>
        <w:pStyle w:val="Compact"/>
        <w:numPr>
          <w:numId w:val="1005"/>
          <w:ilvl w:val="0"/>
        </w:numPr>
      </w:pPr>
      <w:hyperlink r:id="rId140">
        <w:r>
          <w:rPr>
            <w:rStyle w:val="Hyperlink"/>
          </w:rPr>
          <w:t xml:space="preserve">Reason Magazine: The Day They Came To Sue The Book</w:t>
        </w:r>
      </w:hyperlink>
    </w:p>
    <w:p>
      <w:pPr>
        <w:pStyle w:val="Compact"/>
        <w:numPr>
          <w:numId w:val="1005"/>
          <w:ilvl w:val="0"/>
        </w:numPr>
      </w:pPr>
      <w:hyperlink r:id="rId141">
        <w:r>
          <w:rPr>
            <w:rStyle w:val="Hyperlink"/>
          </w:rPr>
          <w:t xml:space="preserve">Case at Google Scholar</w:t>
        </w:r>
      </w:hyperlink>
    </w:p>
    <w:p>
      <w:pPr>
        <w:pStyle w:val="Compact"/>
        <w:numPr>
          <w:numId w:val="1005"/>
          <w:ilvl w:val="0"/>
        </w:numPr>
      </w:pPr>
      <w:hyperlink r:id="rId142">
        <w:r>
          <w:rPr>
            <w:rStyle w:val="Hyperlink"/>
          </w:rPr>
          <w:t xml:space="preserve">Case at Westlaw</w:t>
        </w:r>
      </w:hyperlink>
      <w:r>
        <w:t xml:space="preserve">.</w:t>
      </w:r>
    </w:p>
    <w:p>
      <w:pPr>
        <w:pStyle w:val="Compact"/>
        <w:numPr>
          <w:numId w:val="1005"/>
          <w:ilvl w:val="0"/>
        </w:numPr>
      </w:pPr>
      <w:hyperlink r:id="rId143">
        <w:r>
          <w:rPr>
            <w:rStyle w:val="Hyperlink"/>
          </w:rPr>
          <w:t xml:space="preserve">Case at Wikipedia</w:t>
        </w:r>
      </w:hyperlink>
      <w:r>
        <w:t xml:space="preserve">.</w:t>
      </w:r>
    </w:p>
    <w:p>
      <w:pPr>
        <w:pStyle w:val="Compact"/>
        <w:numPr>
          <w:numId w:val="1005"/>
          <w:ilvl w:val="0"/>
        </w:numPr>
      </w:pPr>
      <w:hyperlink r:id="rId144">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45" w:name="referenced-cases"/>
      <w:bookmarkEnd w:id="145"/>
      <w:r>
        <w:t xml:space="preserve">Referenced Cases</w:t>
      </w:r>
    </w:p>
    <w:p>
      <w:pPr>
        <w:pStyle w:val="Compact"/>
        <w:numPr>
          <w:numId w:val="1006"/>
          <w:ilvl w:val="0"/>
        </w:numPr>
      </w:pPr>
      <w:hyperlink r:id="rId146">
        <w:r>
          <w:rPr>
            <w:i/>
            <w:rStyle w:val="Hyperlink"/>
          </w:rPr>
          <w:t xml:space="preserve">U.S. v. Stevens</w:t>
        </w:r>
      </w:hyperlink>
      <w:r>
        <w:t xml:space="preserve">, 130 S.Ct. 1577 (2010).</w:t>
      </w:r>
      <w:r>
        <w:t xml:space="preserve"> </w:t>
      </w:r>
      <w:hyperlink r:id="rId27">
        <w:r>
          <w:rPr>
            <w:rStyle w:val="Hyperlink"/>
          </w:rPr>
          <w:t xml:space="preserve">Wikipedia</w:t>
        </w:r>
      </w:hyperlink>
      <w:r>
        <w:t xml:space="preserve">.</w:t>
      </w:r>
    </w:p>
    <w:p>
      <w:pPr>
        <w:pStyle w:val="Compact"/>
        <w:numPr>
          <w:numId w:val="1006"/>
          <w:ilvl w:val="0"/>
        </w:numPr>
      </w:pPr>
      <w:hyperlink r:id="rId147">
        <w:r>
          <w:rPr>
            <w:i/>
            <w:rStyle w:val="Hyperlink"/>
          </w:rPr>
          <w:t xml:space="preserve">Weirum v. RKO</w:t>
        </w:r>
      </w:hyperlink>
      <w:r>
        <w:t xml:space="preserve">, 539 P.2d 36 (1975).</w:t>
      </w:r>
      <w:r>
        <w:t xml:space="preserve"> </w:t>
      </w:r>
      <w:hyperlink r:id="rId148">
        <w:r>
          <w:rPr>
            <w:rStyle w:val="Hyperlink"/>
          </w:rPr>
          <w:t xml:space="preserve">Wikipedia</w:t>
        </w:r>
      </w:hyperlink>
      <w:r>
        <w:t xml:space="preserve">.</w:t>
      </w:r>
    </w:p>
    <w:p>
      <w:pPr>
        <w:pStyle w:val="Compact"/>
        <w:numPr>
          <w:numId w:val="1006"/>
          <w:ilvl w:val="0"/>
        </w:numPr>
      </w:pPr>
      <w:hyperlink r:id="rId149">
        <w:r>
          <w:rPr>
            <w:i/>
            <w:rStyle w:val="Hyperlink"/>
          </w:rPr>
          <w:t xml:space="preserve">Byers v. Edmundson</w:t>
        </w:r>
      </w:hyperlink>
      <w:r>
        <w:t xml:space="preserve">, 826 So.2d 551 (1st Cir. 2002).</w:t>
      </w:r>
      <w:r>
        <w:t xml:space="preserve"> </w:t>
      </w:r>
      <w:hyperlink r:id="rId26">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6"/>
          <w:ilvl w:val="0"/>
        </w:numPr>
      </w:pPr>
      <w:hyperlink r:id="rId150">
        <w:r>
          <w:rPr>
            <w:i/>
            <w:rStyle w:val="Hyperlink"/>
          </w:rPr>
          <w:t xml:space="preserve">Davidson v. Time Warner,</w:t>
        </w:r>
      </w:hyperlink>
      <w:r>
        <w:t xml:space="preserve"> </w:t>
      </w:r>
      <w:r>
        <w:t xml:space="preserve">1997 WL 405907 (S.D.Tx 1997).</w:t>
      </w:r>
      <w:r>
        <w:t xml:space="preserve"> </w:t>
      </w:r>
      <w:hyperlink r:id="rId151">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6"/>
          <w:ilvl w:val="0"/>
        </w:numPr>
      </w:pPr>
      <w:hyperlink r:id="rId152">
        <w:r>
          <w:rPr>
            <w:i/>
            <w:rStyle w:val="Hyperlink"/>
          </w:rPr>
          <w:t xml:space="preserve">Miramax Films v. MPAA</w:t>
        </w:r>
      </w:hyperlink>
      <w:r>
        <w:t xml:space="preserve">, 560 N.Y.S.2d 730 (1990).</w:t>
      </w:r>
    </w:p>
    <w:p>
      <w:pPr>
        <w:pStyle w:val="Compact"/>
        <w:numPr>
          <w:numId w:val="1006"/>
          <w:ilvl w:val="0"/>
        </w:numPr>
      </w:pPr>
      <w:r>
        <w:t xml:space="preserve">Trailer for</w:t>
      </w:r>
      <w:r>
        <w:t xml:space="preserve"> </w:t>
      </w:r>
      <w:hyperlink r:id="rId153">
        <w:r>
          <w:rPr>
            <w:i/>
            <w:rStyle w:val="Hyperlink"/>
          </w:rPr>
          <w:t xml:space="preserve">This Film Is Not Yet Rated</w:t>
        </w:r>
      </w:hyperlink>
      <w:r>
        <w:t xml:space="preserve">.</w:t>
      </w:r>
    </w:p>
    <w:p>
      <w:pPr>
        <w:pStyle w:val="Heading3"/>
      </w:pPr>
      <w:bookmarkStart w:id="154" w:name="recommended"/>
      <w:bookmarkEnd w:id="154"/>
      <w:r>
        <w:t xml:space="preserve">Recommended</w:t>
      </w:r>
    </w:p>
    <w:p>
      <w:pPr>
        <w:pStyle w:val="Compact"/>
        <w:numPr>
          <w:numId w:val="1007"/>
          <w:ilvl w:val="0"/>
        </w:numPr>
      </w:pPr>
      <w:hyperlink r:id="rId155">
        <w:r>
          <w:rPr>
            <w:i/>
            <w:rStyle w:val="Hyperlink"/>
          </w:rPr>
          <w:t xml:space="preserve">The People v. Larry Flynt</w:t>
        </w:r>
      </w:hyperlink>
      <w:r>
        <w:t xml:space="preserve">.</w:t>
      </w:r>
    </w:p>
    <w:p>
      <w:pPr>
        <w:pStyle w:val="Compact"/>
        <w:numPr>
          <w:numId w:val="1007"/>
          <w:ilvl w:val="0"/>
        </w:numPr>
      </w:pPr>
      <w:hyperlink r:id="rId156">
        <w:r>
          <w:rPr>
            <w:rStyle w:val="Hyper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7"/>
          <w:ilvl w:val="0"/>
        </w:numPr>
      </w:pPr>
      <w:r>
        <w:t xml:space="preserve">Trailer for</w:t>
      </w:r>
      <w:r>
        <w:t xml:space="preserve"> </w:t>
      </w:r>
      <w:hyperlink r:id="rId153">
        <w:r>
          <w:rPr>
            <w:i/>
            <w:rStyle w:val="Hyper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641e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dc44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f29ca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en.wikipedia.org/wiki/Brown_v._Entertainment_Merchants_Association" TargetMode="External" /><Relationship Type="http://schemas.openxmlformats.org/officeDocument/2006/relationships/hyperlink" Id="rId68"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7" Target="http://en.wikipedia.org/wiki/Heath_High_School_shooting" TargetMode="External" /><Relationship Type="http://schemas.openxmlformats.org/officeDocument/2006/relationships/hyperlink" Id="rId143" Target="http://en.wikipedia.org/wiki/Hit_Man:_A_Technical_Manual_for_Independent_Contractors" TargetMode="External" /><Relationship Type="http://schemas.openxmlformats.org/officeDocument/2006/relationships/hyperlink" Id="rId29" Target="http://en.wikipedia.org/wiki/Miller_test" TargetMode="External" /><Relationship Type="http://schemas.openxmlformats.org/officeDocument/2006/relationships/hyperlink" Id="rId148" Target="http://en.wikipedia.org/wiki/RKO_General#Notable_Legal_Case" TargetMode="External" /><Relationship Type="http://schemas.openxmlformats.org/officeDocument/2006/relationships/hyperlink" Id="rId155"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42" Target="http://lawschool.westlaw.com/shared/westlawRedirect.aspx?task=find&amp;cite=128f3d233&amp;appflag=67.12" TargetMode="External" /><Relationship Type="http://schemas.openxmlformats.org/officeDocument/2006/relationships/hyperlink" Id="rId146" Target="http://lawschool.westlaw.com/shared/westlawRedirect.aspx?task=find&amp;cite=130+S.Ct.+1577&amp;appflag=67.12" TargetMode="External" /><Relationship Type="http://schemas.openxmlformats.org/officeDocument/2006/relationships/hyperlink" Id="rId36" Target="http://lawschool.westlaw.com/shared/westlawRedirect.aspx?task=find&amp;cite=131sct2729&amp;appflag=67.12" TargetMode="External" /><Relationship Type="http://schemas.openxmlformats.org/officeDocument/2006/relationships/hyperlink" Id="rId150" Target="http://lawschool.westlaw.com/shared/westlawRedirect.aspx?task=find&amp;cite=1997+WL+405907&amp;appflag=67.12" TargetMode="External" /><Relationship Type="http://schemas.openxmlformats.org/officeDocument/2006/relationships/hyperlink" Id="rId76" Target="http://lawschool.westlaw.com/shared/westlawRedirect.aspx?task=find&amp;cite=300f3d683&amp;appflag=67.12" TargetMode="External" /><Relationship Type="http://schemas.openxmlformats.org/officeDocument/2006/relationships/hyperlink" Id="rId147" Target="http://lawschool.westlaw.com/shared/westlawRedirect.aspx?task=find&amp;cite=539+P.2d+36&amp;appflag=67.12" TargetMode="External" /><Relationship Type="http://schemas.openxmlformats.org/officeDocument/2006/relationships/hyperlink" Id="rId152" Target="http://lawschool.westlaw.com/shared/westlawRedirect.aspx?task=find&amp;cite=560nys2d730&amp;appflag=67.12" TargetMode="External" /><Relationship Type="http://schemas.openxmlformats.org/officeDocument/2006/relationships/hyperlink" Id="rId117" Target="http://lawschool.westlaw.com/shared/westlawRedirect.aspx?task=find&amp;cite=814f2d1017&amp;appflag=67.12" TargetMode="External" /><Relationship Type="http://schemas.openxmlformats.org/officeDocument/2006/relationships/hyperlink" Id="rId149" Target="http://lawschool.westlaw.com/shared/westlawRedirect.aspx?task=find&amp;cite=826+So.2d+551&amp;appflag=67.12" TargetMode="External" /><Relationship Type="http://schemas.openxmlformats.org/officeDocument/2006/relationships/hyperlink" Id="rId140" Target="http://reason.com/archives/1999/08/01/the-day-they-came-to-sue-the-b" TargetMode="External" /><Relationship Type="http://schemas.openxmlformats.org/officeDocument/2006/relationships/hyperlink" Id="rId88" Target="http://scholar.google.com/scholar_case?about=13723756947186741433&amp;q=james+meow&amp;hl=en&amp;as_sdt=6,28&amp;scilh=0" TargetMode="External" /><Relationship Type="http://schemas.openxmlformats.org/officeDocument/2006/relationships/hyperlink" Id="rId86" Target="http://scholar.google.com/scholar_case?about=15516340448157145729&amp;q=james+meow&amp;hl=en&amp;as_sdt=6,28&amp;scilh=0" TargetMode="External" /><Relationship Type="http://schemas.openxmlformats.org/officeDocument/2006/relationships/hyperlink" Id="rId75" Target="http://scholar.google.com/scholar_case?about=2909369074319697416" TargetMode="External" /><Relationship Type="http://schemas.openxmlformats.org/officeDocument/2006/relationships/hyperlink" Id="rId81" Target="http://scholar.google.com/scholar_case?about=8468647111215907111&amp;q=james+meow&amp;hl=en&amp;as_sdt=6,28&amp;scilh=0" TargetMode="External" /><Relationship Type="http://schemas.openxmlformats.org/officeDocument/2006/relationships/hyperlink" Id="rId120" Target="http://scholar.google.com/scholar_case?case=10183527771703896207" TargetMode="External" /><Relationship Type="http://schemas.openxmlformats.org/officeDocument/2006/relationships/hyperlink" Id="rId131" Target="http://scholar.google.com/scholar_case?case=10183527771703896207&amp;q=herceg+hustler&amp;hl=en&amp;as_sdt=6,28&amp;scilh=0" TargetMode="External" /><Relationship Type="http://schemas.openxmlformats.org/officeDocument/2006/relationships/hyperlink" Id="rId90" Target="http://scholar.google.com/scholar_case?case=10183527771703896207&amp;q=james+meow&amp;hl=en&amp;as_sdt=6,28&amp;scilh=0" TargetMode="External" /><Relationship Type="http://schemas.openxmlformats.org/officeDocument/2006/relationships/hyperlink" Id="rId84"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1" Target="http://scholar.google.com/scholar_case?case=11246858167733420309&amp;scilh=0" TargetMode="External" /><Relationship Type="http://schemas.openxmlformats.org/officeDocument/2006/relationships/hyperlink" Id="rId42"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4" Target="http://scholar.google.com/scholar_case?case=11989907166283121695&amp;q=james+meow&amp;hl=en&amp;as_sdt=6,28&amp;scilh=0" TargetMode="External" /><Relationship Type="http://schemas.openxmlformats.org/officeDocument/2006/relationships/hyperlink" Id="rId112" Target="http://scholar.google.com/scholar_case?case=12134749983314046468" TargetMode="External" /><Relationship Type="http://schemas.openxmlformats.org/officeDocument/2006/relationships/hyperlink" Id="rId87" Target="http://scholar.google.com/scholar_case?case=12187369012283356840" TargetMode="External" /><Relationship Type="http://schemas.openxmlformats.org/officeDocument/2006/relationships/hyperlink" Id="rId126" Target="http://scholar.google.com/scholar_case?case=1226851723986989726&amp;q=herceg+hustler&amp;hl=en&amp;as_sdt=6,28&amp;scilh=0" TargetMode="External" /><Relationship Type="http://schemas.openxmlformats.org/officeDocument/2006/relationships/hyperlink" Id="rId130" Target="http://scholar.google.com/scholar_case?case=12292534138488546769&amp;q=herceg+hustler&amp;hl=en&amp;as_sdt=6,28&amp;scilh=0" TargetMode="External" /><Relationship Type="http://schemas.openxmlformats.org/officeDocument/2006/relationships/hyperlink" Id="rId49" Target="http://scholar.google.com/scholar_case?case=124249671461500618&amp;q=brown+entertainment+merchants&amp;hl=en&amp;as_sdt=2006&amp;scilh=0" TargetMode="External" /><Relationship Type="http://schemas.openxmlformats.org/officeDocument/2006/relationships/hyperlink" Id="rId125" Target="http://scholar.google.com/scholar_case?case=124249671461500618&amp;q=herceg+hustler&amp;hl=en&amp;as_sdt=6,28&amp;scilh=0" TargetMode="External" /><Relationship Type="http://schemas.openxmlformats.org/officeDocument/2006/relationships/hyperlink" Id="rId91" Target="http://scholar.google.com/scholar_case?case=12959937071120946576" TargetMode="External" /><Relationship Type="http://schemas.openxmlformats.org/officeDocument/2006/relationships/hyperlink" Id="rId99" Target="http://scholar.google.com/scholar_case?case=13025078069235542866"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109" Target="http://scholar.google.com/scholar_case?case=14151903145400687453" TargetMode="External" /><Relationship Type="http://schemas.openxmlformats.org/officeDocument/2006/relationships/hyperlink" Id="rId129" Target="http://scholar.google.com/scholar_case?case=14343170427684392260&amp;q=herceg+hustler&amp;hl=en&amp;as_sdt=6,28&amp;scilh=0" TargetMode="External" /><Relationship Type="http://schemas.openxmlformats.org/officeDocument/2006/relationships/hyperlink" Id="rId110" Target="http://scholar.google.com/scholar_case?case=14353781368890549739" TargetMode="External" /><Relationship Type="http://schemas.openxmlformats.org/officeDocument/2006/relationships/hyperlink" Id="rId100" Target="http://scholar.google.com/scholar_case?case=14621372290934958371" TargetMode="External" /><Relationship Type="http://schemas.openxmlformats.org/officeDocument/2006/relationships/hyperlink" Id="rId46" Target="http://scholar.google.com/scholar_case?case=14621372290934958371&amp;q=brown+entertainment+merchants&amp;hl=en&amp;as_sdt=2006&amp;scilh=0" TargetMode="External" /><Relationship Type="http://schemas.openxmlformats.org/officeDocument/2006/relationships/hyperlink" Id="rId47" Target="http://scholar.google.com/scholar_case?case=14778925784015245625&amp;q=brown+entertainment+merchants&amp;hl=en&amp;as_sdt=2006&amp;scilh=0" TargetMode="External" /><Relationship Type="http://schemas.openxmlformats.org/officeDocument/2006/relationships/hyperlink" Id="rId132" Target="http://scholar.google.com/scholar_case?case=14778925784015245625&amp;q=herceg+hustler&amp;hl=en&amp;as_sdt=6,28&amp;scilh=0" TargetMode="External" /><Relationship Type="http://schemas.openxmlformats.org/officeDocument/2006/relationships/hyperlink" Id="rId101" Target="http://scholar.google.com/scholar_case?case=15538842772335942956" TargetMode="External" /><Relationship Type="http://schemas.openxmlformats.org/officeDocument/2006/relationships/hyperlink" Id="rId48" Target="http://scholar.google.com/scholar_case?case=15538842772335942956&amp;q=brown+entertainment+merchants&amp;hl=en&amp;as_sdt=2006&amp;scilh=0" TargetMode="External" /><Relationship Type="http://schemas.openxmlformats.org/officeDocument/2006/relationships/hyperlink" Id="rId133" Target="http://scholar.google.com/scholar_case?case=15538842772335942956&amp;q=herceg+hustler&amp;hl=en&amp;as_sdt=6,28&amp;scilh=0" TargetMode="External" /><Relationship Type="http://schemas.openxmlformats.org/officeDocument/2006/relationships/hyperlink" Id="rId93" Target="http://scholar.google.com/scholar_case?case=1557224836887427725&amp;q=james+meow&amp;hl=en&amp;as_sdt=6,28&amp;scilh=0" TargetMode="External" /><Relationship Type="http://schemas.openxmlformats.org/officeDocument/2006/relationships/hyperlink" Id="rId41" Target="http://scholar.google.com/scholar_case?case=16314089118204976902" TargetMode="External" /><Relationship Type="http://schemas.openxmlformats.org/officeDocument/2006/relationships/hyperlink" Id="rId52" Target="http://scholar.google.com/scholar_case?case=16314089118204976902&amp;q=brown+entertainment+merchants&amp;hl=en&amp;as_sdt=2006&amp;scilh=0" TargetMode="External" /><Relationship Type="http://schemas.openxmlformats.org/officeDocument/2006/relationships/hyperlink" Id="rId82" Target="http://scholar.google.com/scholar_case?case=16532176860606685190" TargetMode="External" /><Relationship Type="http://schemas.openxmlformats.org/officeDocument/2006/relationships/hyperlink" Id="rId92" Target="http://scholar.google.com/scholar_case?case=16910959375208847134" TargetMode="External" /><Relationship Type="http://schemas.openxmlformats.org/officeDocument/2006/relationships/hyperlink" Id="rId95" Target="http://scholar.google.com/scholar_case?case=16910959375208847134&amp;q=james+meow&amp;hl=en&amp;as_sdt=6,28&amp;scilh=0" TargetMode="External" /><Relationship Type="http://schemas.openxmlformats.org/officeDocument/2006/relationships/hyperlink" Id="rId39" Target="http://scholar.google.com/scholar_case?case=18016190414381938126&amp;q=brown+entertainment+merchants&amp;hl=en&amp;as_sdt=2006&amp;scilh=0" TargetMode="External" /><Relationship Type="http://schemas.openxmlformats.org/officeDocument/2006/relationships/hyperlink" Id="rId108" Target="http://scholar.google.com/scholar_case?case=218030355871374852&amp;q=james+meow&amp;hl=en&amp;as_sdt=6,28&amp;scilh=0" TargetMode="External" /><Relationship Type="http://schemas.openxmlformats.org/officeDocument/2006/relationships/hyperlink" Id="rId50" Target="http://scholar.google.com/scholar_case?case=287180442152313659&amp;q=brown+entertainment+merchants&amp;hl=en&amp;as_sdt=2006&amp;scilh=0" TargetMode="External" /><Relationship Type="http://schemas.openxmlformats.org/officeDocument/2006/relationships/hyperlink" Id="rId97" Target="http://scholar.google.com/scholar_case?case=287180442152313659&amp;q=james+meow&amp;hl=en&amp;as_sdt=6,28&amp;scilh=0" TargetMode="External" /><Relationship Type="http://schemas.openxmlformats.org/officeDocument/2006/relationships/hyperlink" Id="rId74"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5" Target="http://scholar.google.com/scholar_case?case=391927733878660348&amp;q=james+meow&amp;hl=en&amp;as_sdt=6,28&amp;scilh=0" TargetMode="External" /><Relationship Type="http://schemas.openxmlformats.org/officeDocument/2006/relationships/hyperlink" Id="rId103" Target="http://scholar.google.com/scholar_case?case=4016009721484982910" TargetMode="External" /><Relationship Type="http://schemas.openxmlformats.org/officeDocument/2006/relationships/hyperlink" Id="rId71" Target="http://scholar.google.com/scholar_case?case=404215965238624132" TargetMode="External" /><Relationship Type="http://schemas.openxmlformats.org/officeDocument/2006/relationships/hyperlink" Id="rId102" Target="http://scholar.google.com/scholar_case?case=4042159652386241321"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104"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43" Target="http://scholar.google.com/scholar_case?case=5628256980652867975&amp;q=brown+entertainment+merchants&amp;hl=en&amp;as_sdt=2006&amp;scilh=0" TargetMode="External" /><Relationship Type="http://schemas.openxmlformats.org/officeDocument/2006/relationships/hyperlink" Id="rId137" Target="http://scholar.google.com/scholar_case?case=6013208883755367940&amp;q=herceg+hustler&amp;hl=en&amp;as_sdt=6,28&amp;scilh=0" TargetMode="External" /><Relationship Type="http://schemas.openxmlformats.org/officeDocument/2006/relationships/hyperlink" Id="rId98"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24" Target="http://scholar.google.com/scholar_case?case=7271075303659098319&amp;q=herceg+hustler&amp;hl=en&amp;as_sdt=6,28&amp;scilh=0" TargetMode="External" /><Relationship Type="http://schemas.openxmlformats.org/officeDocument/2006/relationships/hyperlink" Id="rId51" Target="http://scholar.google.com/scholar_case?case=7398433541275578772&amp;q=brown+entertainment+merchants&amp;hl=en&amp;as_sdt=2006&amp;scilh=0" TargetMode="External" /><Relationship Type="http://schemas.openxmlformats.org/officeDocument/2006/relationships/hyperlink" Id="rId96"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6" Target="http://scholar.google.com/scholar_case?case=7844372980201599517" TargetMode="External" /><Relationship Type="http://schemas.openxmlformats.org/officeDocument/2006/relationships/hyperlink" Id="rId106" Target="http://scholar.google.com/scholar_case?case=7844372980201599517&amp;q=james+meow&amp;hl=en&amp;as_sdt=6,28&amp;scilh=0" TargetMode="External" /><Relationship Type="http://schemas.openxmlformats.org/officeDocument/2006/relationships/hyperlink" Id="rId44" Target="http://scholar.google.com/scholar_case?case=8027362013479204062&amp;q=brown+entertainment+merchants&amp;hl=en&amp;as_sdt=2006&amp;scilh=0" TargetMode="External" /><Relationship Type="http://schemas.openxmlformats.org/officeDocument/2006/relationships/hyperlink" Id="rId111" Target="http://scholar.google.com/scholar_case?case=8197049031942033273" TargetMode="External" /><Relationship Type="http://schemas.openxmlformats.org/officeDocument/2006/relationships/hyperlink" Id="rId136" Target="http://scholar.google.com/scholar_case?case=836093554391354911&amp;q=herceg+hustler&amp;hl=en&amp;as_sdt=6,28&amp;scilh=0" TargetMode="External" /><Relationship Type="http://schemas.openxmlformats.org/officeDocument/2006/relationships/hyperlink" Id="rId83" Target="http://scholar.google.com/scholar_case?case=8378611870130381594"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5" Target="http://scholar.google.com/scholar_case?case=85657697512539256&amp;q=brown+entertainment+merchants&amp;hl=en&amp;as_sdt=2006&amp;scilh=0" TargetMode="External" /><Relationship Type="http://schemas.openxmlformats.org/officeDocument/2006/relationships/hyperlink" Id="rId127" Target="http://scholar.google.com/scholar_case?case=9138451588502129368&amp;q=herceg+hustler&amp;hl=en&amp;as_sdt=6,28&amp;scilh=0" TargetMode="External" /><Relationship Type="http://schemas.openxmlformats.org/officeDocument/2006/relationships/hyperlink" Id="rId128"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35"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51" Target="http://tinyurl.com/ml5vvz8" TargetMode="External" /><Relationship Type="http://schemas.openxmlformats.org/officeDocument/2006/relationships/hyperlink" Id="rId144" Target="http://users.telenet.be/sterf/texts/other/HitMan-Manual_for_Independent_Contractors.pdf" TargetMode="External" /><Relationship Type="http://schemas.openxmlformats.org/officeDocument/2006/relationships/hyperlink" Id="rId31" Target="http://www.esrb.org/index-js.jsp" TargetMode="External" /><Relationship Type="http://schemas.openxmlformats.org/officeDocument/2006/relationships/hyperlink" Id="rId30" Target="http://www.mpaa.org/" TargetMode="External" /><Relationship Type="http://schemas.openxmlformats.org/officeDocument/2006/relationships/hyperlink" Id="rId156" Target="http://www.theatlantic.com/national/archive/2014/09/in-cambridge-md-a-soviet-style-punishment-for-a-novelist/379431/" TargetMode="External" /><Relationship Type="http://schemas.openxmlformats.org/officeDocument/2006/relationships/hyperlink" Id="rId153"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37" Target="http://en.wikipedia.org/wiki/Brown_v._Entertainment_Merchants_Association" TargetMode="External" /><Relationship Type="http://schemas.openxmlformats.org/officeDocument/2006/relationships/hyperlink" Id="rId68"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7" Target="http://en.wikipedia.org/wiki/Heath_High_School_shooting" TargetMode="External" /><Relationship Type="http://schemas.openxmlformats.org/officeDocument/2006/relationships/hyperlink" Id="rId143" Target="http://en.wikipedia.org/wiki/Hit_Man:_A_Technical_Manual_for_Independent_Contractors" TargetMode="External" /><Relationship Type="http://schemas.openxmlformats.org/officeDocument/2006/relationships/hyperlink" Id="rId29" Target="http://en.wikipedia.org/wiki/Miller_test" TargetMode="External" /><Relationship Type="http://schemas.openxmlformats.org/officeDocument/2006/relationships/hyperlink" Id="rId148" Target="http://en.wikipedia.org/wiki/RKO_General#Notable_Legal_Case" TargetMode="External" /><Relationship Type="http://schemas.openxmlformats.org/officeDocument/2006/relationships/hyperlink" Id="rId155"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42" Target="http://lawschool.westlaw.com/shared/westlawRedirect.aspx?task=find&amp;cite=128f3d233&amp;appflag=67.12" TargetMode="External" /><Relationship Type="http://schemas.openxmlformats.org/officeDocument/2006/relationships/hyperlink" Id="rId146" Target="http://lawschool.westlaw.com/shared/westlawRedirect.aspx?task=find&amp;cite=130+S.Ct.+1577&amp;appflag=67.12" TargetMode="External" /><Relationship Type="http://schemas.openxmlformats.org/officeDocument/2006/relationships/hyperlink" Id="rId36" Target="http://lawschool.westlaw.com/shared/westlawRedirect.aspx?task=find&amp;cite=131sct2729&amp;appflag=67.12" TargetMode="External" /><Relationship Type="http://schemas.openxmlformats.org/officeDocument/2006/relationships/hyperlink" Id="rId150" Target="http://lawschool.westlaw.com/shared/westlawRedirect.aspx?task=find&amp;cite=1997+WL+405907&amp;appflag=67.12" TargetMode="External" /><Relationship Type="http://schemas.openxmlformats.org/officeDocument/2006/relationships/hyperlink" Id="rId76" Target="http://lawschool.westlaw.com/shared/westlawRedirect.aspx?task=find&amp;cite=300f3d683&amp;appflag=67.12" TargetMode="External" /><Relationship Type="http://schemas.openxmlformats.org/officeDocument/2006/relationships/hyperlink" Id="rId147" Target="http://lawschool.westlaw.com/shared/westlawRedirect.aspx?task=find&amp;cite=539+P.2d+36&amp;appflag=67.12" TargetMode="External" /><Relationship Type="http://schemas.openxmlformats.org/officeDocument/2006/relationships/hyperlink" Id="rId152" Target="http://lawschool.westlaw.com/shared/westlawRedirect.aspx?task=find&amp;cite=560nys2d730&amp;appflag=67.12" TargetMode="External" /><Relationship Type="http://schemas.openxmlformats.org/officeDocument/2006/relationships/hyperlink" Id="rId117" Target="http://lawschool.westlaw.com/shared/westlawRedirect.aspx?task=find&amp;cite=814f2d1017&amp;appflag=67.12" TargetMode="External" /><Relationship Type="http://schemas.openxmlformats.org/officeDocument/2006/relationships/hyperlink" Id="rId149" Target="http://lawschool.westlaw.com/shared/westlawRedirect.aspx?task=find&amp;cite=826+So.2d+551&amp;appflag=67.12" TargetMode="External" /><Relationship Type="http://schemas.openxmlformats.org/officeDocument/2006/relationships/hyperlink" Id="rId140" Target="http://reason.com/archives/1999/08/01/the-day-they-came-to-sue-the-b" TargetMode="External" /><Relationship Type="http://schemas.openxmlformats.org/officeDocument/2006/relationships/hyperlink" Id="rId88" Target="http://scholar.google.com/scholar_case?about=13723756947186741433&amp;q=james+meow&amp;hl=en&amp;as_sdt=6,28&amp;scilh=0" TargetMode="External" /><Relationship Type="http://schemas.openxmlformats.org/officeDocument/2006/relationships/hyperlink" Id="rId86" Target="http://scholar.google.com/scholar_case?about=15516340448157145729&amp;q=james+meow&amp;hl=en&amp;as_sdt=6,28&amp;scilh=0" TargetMode="External" /><Relationship Type="http://schemas.openxmlformats.org/officeDocument/2006/relationships/hyperlink" Id="rId75" Target="http://scholar.google.com/scholar_case?about=2909369074319697416" TargetMode="External" /><Relationship Type="http://schemas.openxmlformats.org/officeDocument/2006/relationships/hyperlink" Id="rId81" Target="http://scholar.google.com/scholar_case?about=8468647111215907111&amp;q=james+meow&amp;hl=en&amp;as_sdt=6,28&amp;scilh=0" TargetMode="External" /><Relationship Type="http://schemas.openxmlformats.org/officeDocument/2006/relationships/hyperlink" Id="rId120" Target="http://scholar.google.com/scholar_case?case=10183527771703896207" TargetMode="External" /><Relationship Type="http://schemas.openxmlformats.org/officeDocument/2006/relationships/hyperlink" Id="rId131" Target="http://scholar.google.com/scholar_case?case=10183527771703896207&amp;q=herceg+hustler&amp;hl=en&amp;as_sdt=6,28&amp;scilh=0" TargetMode="External" /><Relationship Type="http://schemas.openxmlformats.org/officeDocument/2006/relationships/hyperlink" Id="rId90" Target="http://scholar.google.com/scholar_case?case=10183527771703896207&amp;q=james+meow&amp;hl=en&amp;as_sdt=6,28&amp;scilh=0" TargetMode="External" /><Relationship Type="http://schemas.openxmlformats.org/officeDocument/2006/relationships/hyperlink" Id="rId84"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1" Target="http://scholar.google.com/scholar_case?case=11246858167733420309&amp;scilh=0" TargetMode="External" /><Relationship Type="http://schemas.openxmlformats.org/officeDocument/2006/relationships/hyperlink" Id="rId42"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4" Target="http://scholar.google.com/scholar_case?case=11989907166283121695&amp;q=james+meow&amp;hl=en&amp;as_sdt=6,28&amp;scilh=0" TargetMode="External" /><Relationship Type="http://schemas.openxmlformats.org/officeDocument/2006/relationships/hyperlink" Id="rId112" Target="http://scholar.google.com/scholar_case?case=12134749983314046468" TargetMode="External" /><Relationship Type="http://schemas.openxmlformats.org/officeDocument/2006/relationships/hyperlink" Id="rId87" Target="http://scholar.google.com/scholar_case?case=12187369012283356840" TargetMode="External" /><Relationship Type="http://schemas.openxmlformats.org/officeDocument/2006/relationships/hyperlink" Id="rId126" Target="http://scholar.google.com/scholar_case?case=1226851723986989726&amp;q=herceg+hustler&amp;hl=en&amp;as_sdt=6,28&amp;scilh=0" TargetMode="External" /><Relationship Type="http://schemas.openxmlformats.org/officeDocument/2006/relationships/hyperlink" Id="rId130" Target="http://scholar.google.com/scholar_case?case=12292534138488546769&amp;q=herceg+hustler&amp;hl=en&amp;as_sdt=6,28&amp;scilh=0" TargetMode="External" /><Relationship Type="http://schemas.openxmlformats.org/officeDocument/2006/relationships/hyperlink" Id="rId49" Target="http://scholar.google.com/scholar_case?case=124249671461500618&amp;q=brown+entertainment+merchants&amp;hl=en&amp;as_sdt=2006&amp;scilh=0" TargetMode="External" /><Relationship Type="http://schemas.openxmlformats.org/officeDocument/2006/relationships/hyperlink" Id="rId125" Target="http://scholar.google.com/scholar_case?case=124249671461500618&amp;q=herceg+hustler&amp;hl=en&amp;as_sdt=6,28&amp;scilh=0" TargetMode="External" /><Relationship Type="http://schemas.openxmlformats.org/officeDocument/2006/relationships/hyperlink" Id="rId91" Target="http://scholar.google.com/scholar_case?case=12959937071120946576" TargetMode="External" /><Relationship Type="http://schemas.openxmlformats.org/officeDocument/2006/relationships/hyperlink" Id="rId99" Target="http://scholar.google.com/scholar_case?case=13025078069235542866"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109" Target="http://scholar.google.com/scholar_case?case=14151903145400687453" TargetMode="External" /><Relationship Type="http://schemas.openxmlformats.org/officeDocument/2006/relationships/hyperlink" Id="rId129" Target="http://scholar.google.com/scholar_case?case=14343170427684392260&amp;q=herceg+hustler&amp;hl=en&amp;as_sdt=6,28&amp;scilh=0" TargetMode="External" /><Relationship Type="http://schemas.openxmlformats.org/officeDocument/2006/relationships/hyperlink" Id="rId110" Target="http://scholar.google.com/scholar_case?case=14353781368890549739" TargetMode="External" /><Relationship Type="http://schemas.openxmlformats.org/officeDocument/2006/relationships/hyperlink" Id="rId100" Target="http://scholar.google.com/scholar_case?case=14621372290934958371" TargetMode="External" /><Relationship Type="http://schemas.openxmlformats.org/officeDocument/2006/relationships/hyperlink" Id="rId46" Target="http://scholar.google.com/scholar_case?case=14621372290934958371&amp;q=brown+entertainment+merchants&amp;hl=en&amp;as_sdt=2006&amp;scilh=0" TargetMode="External" /><Relationship Type="http://schemas.openxmlformats.org/officeDocument/2006/relationships/hyperlink" Id="rId47" Target="http://scholar.google.com/scholar_case?case=14778925784015245625&amp;q=brown+entertainment+merchants&amp;hl=en&amp;as_sdt=2006&amp;scilh=0" TargetMode="External" /><Relationship Type="http://schemas.openxmlformats.org/officeDocument/2006/relationships/hyperlink" Id="rId132" Target="http://scholar.google.com/scholar_case?case=14778925784015245625&amp;q=herceg+hustler&amp;hl=en&amp;as_sdt=6,28&amp;scilh=0" TargetMode="External" /><Relationship Type="http://schemas.openxmlformats.org/officeDocument/2006/relationships/hyperlink" Id="rId101" Target="http://scholar.google.com/scholar_case?case=15538842772335942956" TargetMode="External" /><Relationship Type="http://schemas.openxmlformats.org/officeDocument/2006/relationships/hyperlink" Id="rId48" Target="http://scholar.google.com/scholar_case?case=15538842772335942956&amp;q=brown+entertainment+merchants&amp;hl=en&amp;as_sdt=2006&amp;scilh=0" TargetMode="External" /><Relationship Type="http://schemas.openxmlformats.org/officeDocument/2006/relationships/hyperlink" Id="rId133" Target="http://scholar.google.com/scholar_case?case=15538842772335942956&amp;q=herceg+hustler&amp;hl=en&amp;as_sdt=6,28&amp;scilh=0" TargetMode="External" /><Relationship Type="http://schemas.openxmlformats.org/officeDocument/2006/relationships/hyperlink" Id="rId93" Target="http://scholar.google.com/scholar_case?case=1557224836887427725&amp;q=james+meow&amp;hl=en&amp;as_sdt=6,28&amp;scilh=0" TargetMode="External" /><Relationship Type="http://schemas.openxmlformats.org/officeDocument/2006/relationships/hyperlink" Id="rId41" Target="http://scholar.google.com/scholar_case?case=16314089118204976902" TargetMode="External" /><Relationship Type="http://schemas.openxmlformats.org/officeDocument/2006/relationships/hyperlink" Id="rId52" Target="http://scholar.google.com/scholar_case?case=16314089118204976902&amp;q=brown+entertainment+merchants&amp;hl=en&amp;as_sdt=2006&amp;scilh=0" TargetMode="External" /><Relationship Type="http://schemas.openxmlformats.org/officeDocument/2006/relationships/hyperlink" Id="rId82" Target="http://scholar.google.com/scholar_case?case=16532176860606685190" TargetMode="External" /><Relationship Type="http://schemas.openxmlformats.org/officeDocument/2006/relationships/hyperlink" Id="rId92" Target="http://scholar.google.com/scholar_case?case=16910959375208847134" TargetMode="External" /><Relationship Type="http://schemas.openxmlformats.org/officeDocument/2006/relationships/hyperlink" Id="rId95" Target="http://scholar.google.com/scholar_case?case=16910959375208847134&amp;q=james+meow&amp;hl=en&amp;as_sdt=6,28&amp;scilh=0" TargetMode="External" /><Relationship Type="http://schemas.openxmlformats.org/officeDocument/2006/relationships/hyperlink" Id="rId39" Target="http://scholar.google.com/scholar_case?case=18016190414381938126&amp;q=brown+entertainment+merchants&amp;hl=en&amp;as_sdt=2006&amp;scilh=0" TargetMode="External" /><Relationship Type="http://schemas.openxmlformats.org/officeDocument/2006/relationships/hyperlink" Id="rId108" Target="http://scholar.google.com/scholar_case?case=218030355871374852&amp;q=james+meow&amp;hl=en&amp;as_sdt=6,28&amp;scilh=0" TargetMode="External" /><Relationship Type="http://schemas.openxmlformats.org/officeDocument/2006/relationships/hyperlink" Id="rId50" Target="http://scholar.google.com/scholar_case?case=287180442152313659&amp;q=brown+entertainment+merchants&amp;hl=en&amp;as_sdt=2006&amp;scilh=0" TargetMode="External" /><Relationship Type="http://schemas.openxmlformats.org/officeDocument/2006/relationships/hyperlink" Id="rId97" Target="http://scholar.google.com/scholar_case?case=287180442152313659&amp;q=james+meow&amp;hl=en&amp;as_sdt=6,28&amp;scilh=0" TargetMode="External" /><Relationship Type="http://schemas.openxmlformats.org/officeDocument/2006/relationships/hyperlink" Id="rId74"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5" Target="http://scholar.google.com/scholar_case?case=391927733878660348&amp;q=james+meow&amp;hl=en&amp;as_sdt=6,28&amp;scilh=0" TargetMode="External" /><Relationship Type="http://schemas.openxmlformats.org/officeDocument/2006/relationships/hyperlink" Id="rId103" Target="http://scholar.google.com/scholar_case?case=4016009721484982910" TargetMode="External" /><Relationship Type="http://schemas.openxmlformats.org/officeDocument/2006/relationships/hyperlink" Id="rId71" Target="http://scholar.google.com/scholar_case?case=404215965238624132" TargetMode="External" /><Relationship Type="http://schemas.openxmlformats.org/officeDocument/2006/relationships/hyperlink" Id="rId102" Target="http://scholar.google.com/scholar_case?case=4042159652386241321"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104"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43" Target="http://scholar.google.com/scholar_case?case=5628256980652867975&amp;q=brown+entertainment+merchants&amp;hl=en&amp;as_sdt=2006&amp;scilh=0" TargetMode="External" /><Relationship Type="http://schemas.openxmlformats.org/officeDocument/2006/relationships/hyperlink" Id="rId137" Target="http://scholar.google.com/scholar_case?case=6013208883755367940&amp;q=herceg+hustler&amp;hl=en&amp;as_sdt=6,28&amp;scilh=0" TargetMode="External" /><Relationship Type="http://schemas.openxmlformats.org/officeDocument/2006/relationships/hyperlink" Id="rId98"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24" Target="http://scholar.google.com/scholar_case?case=7271075303659098319&amp;q=herceg+hustler&amp;hl=en&amp;as_sdt=6,28&amp;scilh=0" TargetMode="External" /><Relationship Type="http://schemas.openxmlformats.org/officeDocument/2006/relationships/hyperlink" Id="rId51" Target="http://scholar.google.com/scholar_case?case=7398433541275578772&amp;q=brown+entertainment+merchants&amp;hl=en&amp;as_sdt=2006&amp;scilh=0" TargetMode="External" /><Relationship Type="http://schemas.openxmlformats.org/officeDocument/2006/relationships/hyperlink" Id="rId96"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6" Target="http://scholar.google.com/scholar_case?case=7844372980201599517" TargetMode="External" /><Relationship Type="http://schemas.openxmlformats.org/officeDocument/2006/relationships/hyperlink" Id="rId106" Target="http://scholar.google.com/scholar_case?case=7844372980201599517&amp;q=james+meow&amp;hl=en&amp;as_sdt=6,28&amp;scilh=0" TargetMode="External" /><Relationship Type="http://schemas.openxmlformats.org/officeDocument/2006/relationships/hyperlink" Id="rId44" Target="http://scholar.google.com/scholar_case?case=8027362013479204062&amp;q=brown+entertainment+merchants&amp;hl=en&amp;as_sdt=2006&amp;scilh=0" TargetMode="External" /><Relationship Type="http://schemas.openxmlformats.org/officeDocument/2006/relationships/hyperlink" Id="rId111" Target="http://scholar.google.com/scholar_case?case=8197049031942033273" TargetMode="External" /><Relationship Type="http://schemas.openxmlformats.org/officeDocument/2006/relationships/hyperlink" Id="rId136" Target="http://scholar.google.com/scholar_case?case=836093554391354911&amp;q=herceg+hustler&amp;hl=en&amp;as_sdt=6,28&amp;scilh=0" TargetMode="External" /><Relationship Type="http://schemas.openxmlformats.org/officeDocument/2006/relationships/hyperlink" Id="rId83" Target="http://scholar.google.com/scholar_case?case=8378611870130381594"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5" Target="http://scholar.google.com/scholar_case?case=85657697512539256&amp;q=brown+entertainment+merchants&amp;hl=en&amp;as_sdt=2006&amp;scilh=0" TargetMode="External" /><Relationship Type="http://schemas.openxmlformats.org/officeDocument/2006/relationships/hyperlink" Id="rId127" Target="http://scholar.google.com/scholar_case?case=9138451588502129368&amp;q=herceg+hustler&amp;hl=en&amp;as_sdt=6,28&amp;scilh=0" TargetMode="External" /><Relationship Type="http://schemas.openxmlformats.org/officeDocument/2006/relationships/hyperlink" Id="rId128"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35"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51" Target="http://tinyurl.com/ml5vvz8" TargetMode="External" /><Relationship Type="http://schemas.openxmlformats.org/officeDocument/2006/relationships/hyperlink" Id="rId144" Target="http://users.telenet.be/sterf/texts/other/HitMan-Manual_for_Independent_Contractors.pdf" TargetMode="External" /><Relationship Type="http://schemas.openxmlformats.org/officeDocument/2006/relationships/hyperlink" Id="rId31" Target="http://www.esrb.org/index-js.jsp" TargetMode="External" /><Relationship Type="http://schemas.openxmlformats.org/officeDocument/2006/relationships/hyperlink" Id="rId30" Target="http://www.mpaa.org/" TargetMode="External" /><Relationship Type="http://schemas.openxmlformats.org/officeDocument/2006/relationships/hyperlink" Id="rId156" Target="http://www.theatlantic.com/national/archive/2014/09/in-cambridge-md-a-soviet-style-punishment-for-a-novelist/379431/" TargetMode="External" /><Relationship Type="http://schemas.openxmlformats.org/officeDocument/2006/relationships/hyperlink" Id="rId153"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