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 xml:space="preserve">John </w:t>
      </w:r>
      <w:proofErr w:type="spellStart"/>
      <w:r>
        <w:rPr>
          <w:sz w:val="24"/>
        </w:rPr>
        <w:t>Neis</w:t>
      </w:r>
      <w:proofErr w:type="spellEnd"/>
      <w:r>
        <w:rPr>
          <w:sz w:val="24"/>
        </w:rPr>
        <w:t xml:space="preserve">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640253"/>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F2B815E" w:rsidR="00C44DA9" w:rsidRPr="00AF7972" w:rsidRDefault="00C44DA9">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E8E7001" w14:textId="5C6BD086" w:rsidR="00195ECD" w:rsidRPr="00AF7972" w:rsidRDefault="00195ECD">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96BB093" w14:textId="48BB81B5" w:rsidR="00C44DA9" w:rsidRPr="00AF7972" w:rsidRDefault="00C44DA9">
            <w:pPr>
              <w:rPr>
                <w:rFonts w:ascii="Abadi Extra Light" w:hAnsi="Abadi Extra Light"/>
              </w:rPr>
            </w:pP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137FAE58" w14:textId="7C1DB093" w:rsidR="006D09F7" w:rsidRPr="00AF7972" w:rsidRDefault="006D09F7">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64D3815A"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 so that they can be prepared for any of the financial challenges that present themselves in real life.</w:t>
      </w:r>
    </w:p>
    <w:p w14:paraId="15A71049" w14:textId="77777777" w:rsidR="001B6B6F" w:rsidRDefault="00AF7972" w:rsidP="00AF7972">
      <w:pPr>
        <w:jc w:val="both"/>
        <w:rPr>
          <w:sz w:val="24"/>
          <w:szCs w:val="24"/>
        </w:rPr>
      </w:pPr>
      <w:r>
        <w:rPr>
          <w:sz w:val="24"/>
          <w:szCs w:val="24"/>
        </w:rPr>
        <w:t>Money Hub will provide the user with access to a variety of their accounts in one place.</w:t>
      </w:r>
      <w:r w:rsidR="001B6B6F">
        <w:rPr>
          <w:sz w:val="24"/>
          <w:szCs w:val="24"/>
        </w:rPr>
        <w:t xml:space="preserve"> Users will be able to view and track a variety of different accounts ranging from savings to previously taken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65AB31FB" w:rsidR="00EA1414" w:rsidRDefault="001B6B6F" w:rsidP="00192EDB">
      <w:pPr>
        <w:jc w:val="both"/>
      </w:pPr>
      <w:r>
        <w:t xml:space="preserve">Software design documentation is primarily written with the purpose of </w:t>
      </w:r>
      <w:r w:rsidR="00AD7AE6">
        <w:t xml:space="preserve">allowing developers, system architects, and software testers a place to go 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68FAF30E" w:rsidR="00AD7AE6" w:rsidRPr="00AD7AE6" w:rsidRDefault="00AD7AE6" w:rsidP="00AD7AE6">
      <w:pPr>
        <w:pStyle w:val="Heading2"/>
      </w:pPr>
      <w:r>
        <w:t xml:space="preserve">2.1 </w:t>
      </w:r>
      <w:r w:rsidRPr="00AD7AE6">
        <w:t>Assumptions and Dependencies</w:t>
      </w:r>
    </w:p>
    <w:p w14:paraId="019D1A67" w14:textId="5B572B9B" w:rsidR="00AD7AE6" w:rsidRPr="00AD7AE6" w:rsidRDefault="00AD7AE6" w:rsidP="00AD7AE6">
      <w:pPr>
        <w:pStyle w:val="Heading2"/>
      </w:pPr>
      <w:r>
        <w:t xml:space="preserve">2.2 </w:t>
      </w:r>
      <w:r w:rsidRPr="00AD7AE6">
        <w:t>General Constraints</w:t>
      </w:r>
    </w:p>
    <w:p w14:paraId="4638BB4C" w14:textId="48ACEFF1" w:rsidR="00AD7AE6" w:rsidRPr="00B85095" w:rsidRDefault="00AD7AE6" w:rsidP="00AD7AE6">
      <w:pPr>
        <w:pStyle w:val="Heading2"/>
        <w:rPr>
          <w:sz w:val="22"/>
        </w:rPr>
      </w:pPr>
      <w:r>
        <w:t xml:space="preserve">2.4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lastRenderedPageBreak/>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lastRenderedPageBreak/>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8258" w14:textId="77777777" w:rsidR="00640253" w:rsidRDefault="00640253" w:rsidP="00C6554A">
      <w:pPr>
        <w:spacing w:before="0" w:after="0" w:line="240" w:lineRule="auto"/>
      </w:pPr>
      <w:r>
        <w:separator/>
      </w:r>
    </w:p>
  </w:endnote>
  <w:endnote w:type="continuationSeparator" w:id="0">
    <w:p w14:paraId="6A434281" w14:textId="77777777" w:rsidR="00640253" w:rsidRDefault="006402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DB8CA" w14:textId="77777777" w:rsidR="00640253" w:rsidRDefault="00640253" w:rsidP="00C6554A">
      <w:pPr>
        <w:spacing w:before="0" w:after="0" w:line="240" w:lineRule="auto"/>
      </w:pPr>
      <w:r>
        <w:separator/>
      </w:r>
    </w:p>
  </w:footnote>
  <w:footnote w:type="continuationSeparator" w:id="0">
    <w:p w14:paraId="2E606555" w14:textId="77777777" w:rsidR="00640253" w:rsidRDefault="0064025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54D18"/>
    <w:rsid w:val="000555AA"/>
    <w:rsid w:val="00057AA8"/>
    <w:rsid w:val="00066D39"/>
    <w:rsid w:val="00074A02"/>
    <w:rsid w:val="00092555"/>
    <w:rsid w:val="000A7905"/>
    <w:rsid w:val="000B3CE6"/>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8102F"/>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40253"/>
    <w:rsid w:val="00655E5A"/>
    <w:rsid w:val="00662D31"/>
    <w:rsid w:val="006A3CE7"/>
    <w:rsid w:val="006A75D1"/>
    <w:rsid w:val="006B39BA"/>
    <w:rsid w:val="006D09F7"/>
    <w:rsid w:val="006E5D60"/>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3B7"/>
    <w:rsid w:val="00E74994"/>
    <w:rsid w:val="00E86CC9"/>
    <w:rsid w:val="00EA02C1"/>
    <w:rsid w:val="00EA1414"/>
    <w:rsid w:val="00EA1900"/>
    <w:rsid w:val="00EA55FC"/>
    <w:rsid w:val="00EA5808"/>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0C11-9814-4680-B231-0DBE352F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1710</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45</cp:revision>
  <dcterms:created xsi:type="dcterms:W3CDTF">2020-03-29T22:48:00Z</dcterms:created>
  <dcterms:modified xsi:type="dcterms:W3CDTF">2020-04-30T01:27:00Z</dcterms:modified>
</cp:coreProperties>
</file>