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BA4EA07">
      <w:pPr>
        <w:pBdr/>
        <w:spacing w:after="0" w:before="240"/>
        <w:ind/>
        <w:jc w:val="both"/>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2B9FE4E0">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w:t>
      </w:r>
      <w:r>
        <w:rPr>
          <w:rFonts w:ascii="Times New Roman" w:hAnsi="Times New Roman" w:eastAsia="Times New Roman" w:cs="Times New Roman"/>
          <w:sz w:val="22"/>
          <w:szCs w:val="22"/>
        </w:rPr>
        <w:t xml:space="preserve">𝗖𝗜𝗧𝗬 𝗧𝗢 𝗗𝗘𝗩𝗘𝗟𝗢𝗣 𝗖𝗘𝗡𝗧𝗥𝗔𝗟 𝗪𝗔𝗦𝗧𝗘-𝗧𝗢-𝗥𝗘𝗦𝗢𝗨𝗥𝗖𝗘 𝗙𝗔𝗖𝗜𝗟𝗜𝗧𝗬 𝗧𝗛𝗥𝗢𝗨𝗚𝗛 𝗣𝗣𝗣</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507EA440">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23B44DB0">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city government has upgraded its centralized materials recovery facility (MRF) plan into a centralized waste-to-resource facility, one that is more expansive and more fitting to the city's "Pansa-nopen Tayo" circular economy program.</w:t>
      </w:r>
      <w:r>
        <w:rPr>
          <w:sz w:val="22"/>
          <w:szCs w:val="22"/>
        </w:rPr>
      </w:r>
      <w:r>
        <w:rPr>
          <w:sz w:val="22"/>
          <w:szCs w:val="22"/>
        </w:rPr>
      </w:r>
    </w:p>
    <w:p w14:paraId="2483BCAE">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leveled-up plan will combine traditional waste management systems with modern technologies, evolving into a full "waste-to-resource" facility. It will be undertaken through the public-private partnership (PPP) mode of development, Mayor Benjamin Magalo</w:t>
      </w:r>
      <w:r>
        <w:rPr>
          <w:rFonts w:ascii="Times New Roman" w:hAnsi="Times New Roman" w:eastAsia="Times New Roman" w:cs="Times New Roman"/>
          <w:color w:val="000000"/>
          <w:sz w:val="22"/>
          <w:szCs w:val="22"/>
        </w:rPr>
        <w:t xml:space="preserve">ng announced on May 4, 2026.</w:t>
      </w:r>
      <w:r>
        <w:rPr>
          <w:sz w:val="22"/>
          <w:szCs w:val="22"/>
        </w:rPr>
      </w:r>
      <w:r>
        <w:rPr>
          <w:sz w:val="22"/>
          <w:szCs w:val="22"/>
        </w:rPr>
      </w:r>
    </w:p>
    <w:p w14:paraId="3079726E">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Instead of fully funding the project, the city is pursuing a PPP for the operation and procurement of equipment. The city will shoulder land development and structural components based on the approved design, while a private partner with expertise in waste</w:t>
      </w:r>
      <w:r>
        <w:rPr>
          <w:rFonts w:ascii="Times New Roman" w:hAnsi="Times New Roman" w:eastAsia="Times New Roman" w:cs="Times New Roman"/>
          <w:color w:val="000000"/>
          <w:sz w:val="22"/>
          <w:szCs w:val="22"/>
        </w:rPr>
        <w:t xml:space="preserve"> management will handle operations and deliver the required equipment.</w:t>
      </w:r>
      <w:r>
        <w:rPr>
          <w:sz w:val="22"/>
          <w:szCs w:val="22"/>
        </w:rPr>
      </w:r>
      <w:r>
        <w:rPr>
          <w:sz w:val="22"/>
          <w:szCs w:val="22"/>
        </w:rPr>
      </w:r>
    </w:p>
    <w:p w14:paraId="6C7622F1">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Mayor Magalong said the city is fast-tracking the PPP process with guidance from the PPP Center, noting that the move will ensure efficiency and access to technical expertise.</w:t>
      </w:r>
      <w:r>
        <w:rPr>
          <w:sz w:val="22"/>
          <w:szCs w:val="22"/>
        </w:rPr>
      </w:r>
      <w:r>
        <w:rPr>
          <w:sz w:val="22"/>
          <w:szCs w:val="22"/>
        </w:rPr>
      </w:r>
    </w:p>
    <w:p w14:paraId="03563CBE">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Assistant City General Services Officer Ma. Guadalupe Della said the project will be implemented in phases to maximize material recovery and improve waste processing across the city's barangays.</w:t>
      </w:r>
      <w:r>
        <w:rPr>
          <w:sz w:val="22"/>
          <w:szCs w:val="22"/>
        </w:rPr>
      </w:r>
      <w:r>
        <w:rPr>
          <w:sz w:val="22"/>
          <w:szCs w:val="22"/>
        </w:rPr>
      </w:r>
    </w:p>
    <w:p w14:paraId="1CD675E7">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Under Phase 1, the facility will focus on managing recyclables and residual waste, with the installation of equipment such as conveyors and processing systems to enhance recovery rates. Phase 2 will introduce additional technologies, including the possible</w:t>
      </w:r>
      <w:r>
        <w:rPr>
          <w:rFonts w:ascii="Times New Roman" w:hAnsi="Times New Roman" w:eastAsia="Times New Roman" w:cs="Times New Roman"/>
          <w:color w:val="000000"/>
          <w:sz w:val="22"/>
          <w:szCs w:val="22"/>
        </w:rPr>
        <w:t xml:space="preserve"> production of refuse-derived fuel from biodegradable waste.</w:t>
      </w:r>
      <w:r>
        <w:rPr>
          <w:sz w:val="22"/>
          <w:szCs w:val="22"/>
        </w:rPr>
      </w:r>
      <w:r>
        <w:rPr>
          <w:sz w:val="22"/>
          <w:szCs w:val="22"/>
        </w:rPr>
      </w:r>
    </w:p>
    <w:p w14:paraId="515E719D">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Della said site development is currently ongoing, and the construction of the building has already been awarded to a contractor. She added that the project has secured clearance from the Protected Area Management Board and approval from the Environmental M</w:t>
      </w:r>
      <w:r>
        <w:rPr>
          <w:rFonts w:ascii="Times New Roman" w:hAnsi="Times New Roman" w:eastAsia="Times New Roman" w:cs="Times New Roman"/>
          <w:color w:val="000000"/>
          <w:sz w:val="22"/>
          <w:szCs w:val="22"/>
        </w:rPr>
        <w:t xml:space="preserve">anagement Bureau, with the Environmental Compliance Certificate expected within a month.</w:t>
      </w:r>
      <w:r>
        <w:rPr>
          <w:sz w:val="22"/>
          <w:szCs w:val="22"/>
        </w:rPr>
      </w:r>
      <w:r>
        <w:rPr>
          <w:sz w:val="22"/>
          <w:szCs w:val="22"/>
        </w:rPr>
      </w:r>
    </w:p>
    <w:p w14:paraId="4E226D07">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mayor also highlighted the success of grassroots recycling efforts, particularly in Irisan, where community workers are already earning from waste recovery initiatives. He said that linking waste generators to better markets, supported by national poli</w:t>
      </w:r>
      <w:r>
        <w:rPr>
          <w:rFonts w:ascii="Times New Roman" w:hAnsi="Times New Roman" w:eastAsia="Times New Roman" w:cs="Times New Roman"/>
          <w:color w:val="000000"/>
          <w:sz w:val="22"/>
          <w:szCs w:val="22"/>
        </w:rPr>
        <w:t xml:space="preserve">cies such as Extended Producer Responsibility (EPR), can significantly increase income from recyclables.</w:t>
      </w:r>
      <w:r>
        <w:rPr>
          <w:sz w:val="22"/>
          <w:szCs w:val="22"/>
        </w:rPr>
      </w:r>
      <w:r>
        <w:rPr>
          <w:sz w:val="22"/>
          <w:szCs w:val="22"/>
        </w:rPr>
      </w:r>
    </w:p>
    <w:p w14:paraId="7ACAE3C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rPr>
        <w:t xml:space="preserve">With the central waste-to-resource facility in place, the city is optimistic about strengthening its circular economy programs, reducing waste, and creating more livelihood opportunities for residents.- Aileen P. Refuerzo</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2026-05-24T13:00:21Z</dcterms:modified>
</cp:coreProperties>
</file>