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BBC996">
      <w:pPr>
        <w:pBdr/>
        <w:shd w:val="nil" w:color="000000"/>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84C1454">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000000"/>
          <w:sz w:val="22"/>
          <w:szCs w:val="22"/>
        </w:rPr>
        <w:t xml:space="preserve">𝗕𝗔𝗥𝗔𝗡𝗚𝗔𝗬 𝗢𝗙𝗙𝗜𝗖𝗜𝗔𝗟𝗦 𝗘𝗬𝗘𝗗 𝗔𝗦 𝗘𝗡𝗩𝗜𝗥𝗢𝗡𝗠𝗘𝗡𝗧𝗔𝗟 𝗟𝗔𝗪 𝗘𝗡𝗙𝗢𝗥𝗖𝗘𝗥𝗦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4A1C0BE">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4D5D15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Leandro Yangot Jr. and Liga ng mga Barangay President Rocky Aliping have proposed an ordinance deputizing qualified barangay functionaries as environmental law enforcers to strengthen grassroots implementation of waste segregation and other enviro</w:t>
      </w:r>
      <w:r>
        <w:rPr>
          <w:rFonts w:ascii="Times New Roman" w:hAnsi="Times New Roman" w:eastAsia="Times New Roman" w:cs="Times New Roman"/>
          <w:color w:val="000000"/>
          <w:sz w:val="22"/>
          <w:szCs w:val="22"/>
          <w:highlight w:val="none"/>
        </w:rPr>
        <w:t xml:space="preserve">nmental regulations in support of the city’s solid waste management and public health goals.</w:t>
      </w:r>
      <w:r/>
      <w:r/>
    </w:p>
    <w:p w14:paraId="215DB3E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proposed measure lays down the policy of the city to protect air, water, and land quality by ensuring proper waste segregation and sustainable environmental practices at the barangay level. </w:t>
      </w:r>
      <w:r/>
      <w:r/>
    </w:p>
    <w:p w14:paraId="693F88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It recognizes the 128 barangays as the frontline of environmental protection and promotes public participation by empowering qualified local functionaries to take an active role in enforcement.</w:t>
      </w:r>
      <w:r/>
      <w:r/>
    </w:p>
    <w:p w14:paraId="0A01C88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w:t>
      </w:r>
      <w:r>
        <w:rPr>
          <w:rFonts w:ascii="Times New Roman" w:hAnsi="Times New Roman" w:eastAsia="Times New Roman" w:cs="Times New Roman"/>
          <w:color w:val="000000"/>
          <w:sz w:val="22"/>
          <w:szCs w:val="22"/>
          <w:highlight w:val="none"/>
        </w:rPr>
        <w:t xml:space="preserve">nder the ordinance, Baguio City Environmental Law Enforcers (BCELE) will be appointed annually by the City Mayor through the General Services Office (GSO) and the City Environment and Parks Management Office (CEPMO). Those who may be deputized include puro</w:t>
      </w:r>
      <w:r>
        <w:rPr>
          <w:rFonts w:ascii="Times New Roman" w:hAnsi="Times New Roman" w:eastAsia="Times New Roman" w:cs="Times New Roman"/>
          <w:color w:val="000000"/>
          <w:sz w:val="22"/>
          <w:szCs w:val="22"/>
          <w:highlight w:val="none"/>
        </w:rPr>
        <w:t xml:space="preserve">k leaders, barangay tanods, and members of the Barangay Solid Waste Management Committee, provided they are of good moral character and willing to undergo the required training.</w:t>
      </w:r>
      <w:r/>
      <w:r/>
    </w:p>
    <w:p w14:paraId="54B5CF6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deputized enforcers will be authorized to implement and enforce local environmental ordinances within their respective jurisdictions including rules on plastic use, anti-littering, and mandatory waste segregation. They will be provided with official Env</w:t>
      </w:r>
      <w:r>
        <w:rPr>
          <w:rFonts w:ascii="Times New Roman" w:hAnsi="Times New Roman" w:eastAsia="Times New Roman" w:cs="Times New Roman"/>
          <w:color w:val="000000"/>
          <w:sz w:val="22"/>
          <w:szCs w:val="22"/>
          <w:highlight w:val="none"/>
        </w:rPr>
        <w:t xml:space="preserve">i</w:t>
      </w:r>
      <w:r>
        <w:rPr>
          <w:rFonts w:ascii="Times New Roman" w:hAnsi="Times New Roman" w:eastAsia="Times New Roman" w:cs="Times New Roman"/>
          <w:color w:val="000000"/>
          <w:sz w:val="22"/>
          <w:szCs w:val="22"/>
          <w:highlight w:val="none"/>
        </w:rPr>
        <w:t xml:space="preserve">ronmental Laws Citation Tickets and may issue citations to individuals and establishments found violating environmental regulations. They are also tasked to assist the City Legal Office in pursuing cases against habitual or non-compliant violators and to e</w:t>
      </w:r>
      <w:r>
        <w:rPr>
          <w:rFonts w:ascii="Times New Roman" w:hAnsi="Times New Roman" w:eastAsia="Times New Roman" w:cs="Times New Roman"/>
          <w:color w:val="000000"/>
          <w:sz w:val="22"/>
          <w:szCs w:val="22"/>
          <w:highlight w:val="none"/>
        </w:rPr>
        <w:t xml:space="preserve">ducate residents on proper waste segregation and collection schedules.</w:t>
      </w:r>
      <w:r/>
      <w:r/>
    </w:p>
    <w:p w14:paraId="6EC1916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 may rely on its Smart City Command Center, CCTV cameras, and dashcams as tools for identifying violations. Evidence captured through these devices may serve as the basis for issuing citations to the registered owners of properties or establishments</w:t>
      </w:r>
      <w:r>
        <w:rPr>
          <w:rFonts w:ascii="Times New Roman" w:hAnsi="Times New Roman" w:eastAsia="Times New Roman" w:cs="Times New Roman"/>
          <w:color w:val="000000"/>
          <w:sz w:val="22"/>
          <w:szCs w:val="22"/>
          <w:highlight w:val="none"/>
        </w:rPr>
        <w:t xml:space="preserve"> involved.</w:t>
      </w:r>
      <w:r/>
      <w:r/>
    </w:p>
    <w:p w14:paraId="13717D5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Monitoring of implementation will be undertaken by the Punong Barangay and the chairperson of the Sangguniang Barangay committee on environment, while the GSO will maintain a centralized database of violators to track repeat offenses across barangays.</w:t>
      </w:r>
      <w:r/>
      <w:r/>
    </w:p>
    <w:p w14:paraId="5D1E494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ordinance also mandates sustained Information and Education Campaigns by the GSO  and the CEPMO, along with the installation of visible signages in strategic areas to remind the public of environmental rules and responsibilities.</w:t>
      </w:r>
      <w:r/>
      <w:r/>
    </w:p>
    <w:p w14:paraId="4D39330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F</w:t>
      </w:r>
      <w:r>
        <w:rPr>
          <w:rFonts w:ascii="Times New Roman" w:hAnsi="Times New Roman" w:eastAsia="Times New Roman" w:cs="Times New Roman"/>
          <w:color w:val="000000"/>
          <w:sz w:val="22"/>
          <w:szCs w:val="22"/>
          <w:highlight w:val="none"/>
        </w:rPr>
        <w:t xml:space="preserve">ines collected from citations will be shared equally, with 50% accruing to the City General Fund to support the city’s Solid Waste Management Plan, and 50% going to the apprehending barangay to fund its local environmental programs, purchase of enforcement</w:t>
      </w:r>
      <w:r>
        <w:rPr>
          <w:rFonts w:ascii="Times New Roman" w:hAnsi="Times New Roman" w:eastAsia="Times New Roman" w:cs="Times New Roman"/>
          <w:color w:val="000000"/>
          <w:sz w:val="22"/>
          <w:szCs w:val="22"/>
          <w:highlight w:val="none"/>
        </w:rPr>
        <w:t xml:space="preserve"> gear, and IEC materials. A portion of the barangay’s share, not exceeding 30%, may be used for personnel incentives and benefits.</w:t>
      </w:r>
      <w:r/>
      <w:r/>
    </w:p>
    <w:p w14:paraId="3E13BE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April 6, 2026 and subsequently referred to the Committee on Barangay Affairs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
      <w:r>
        <w:rPr>
          <w:rFonts w:ascii="Times New Roman" w:hAnsi="Times New Roman" w:eastAsia="Times New Roman" w:cs="Times New Roman"/>
          <w:color w:val="000000"/>
          <w:sz w:val="22"/>
          <w:szCs w:val="2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2026-05-24T13:01:49Z</dcterms:modified>
</cp:coreProperties>
</file>