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B93DD8">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𝗖𝗟𝗔𝗥𝗜𝗙𝗜𝗖𝗔𝗧𝗜𝗢𝗡 𝗢𝗡 𝗧𝗔𝗫 𝗢𝗕𝗟𝗜𝗚𝗔𝗧𝗜𝗢𝗡𝗦 𝗢𝗙 𝗥𝗘𝗚𝗜𝗦𝗧𝗘𝗥𝗘𝗗 𝗕𝗨𝗦𝗜𝗡𝗘𝗦𝗦 𝗘𝗡𝗧𝗘𝗥𝗣𝗥𝗜𝗦𝗘𝗦 𝗨𝗡𝗗𝗘𝗥 𝗜𝗡𝗖𝗘𝗡𝗧𝗜𝗩𝗘 𝗟𝗔𝗪𝗦 𝗦𝗢𝗨𝗚𝗛𝗧</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9B887BD">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DA5D98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Leandro Yango has proposed an ordinance clarifying the business taxes, regulatory fees, and charges applicable to registered business enterprises (BEs), aligning local policies with Republic Act No. 11534 and ensuring a uniform interpretation of t</w:t>
      </w:r>
      <w:r>
        <w:rPr>
          <w:rFonts w:ascii="Times New Roman" w:hAnsi="Times New Roman" w:eastAsia="Times New Roman" w:cs="Times New Roman"/>
          <w:color w:val="000000"/>
          <w:sz w:val="22"/>
          <w:szCs w:val="22"/>
          <w:highlight w:val="none"/>
        </w:rPr>
        <w:t xml:space="preserve">ax incentives.</w:t>
      </w:r>
      <w:r/>
      <w:r/>
    </w:p>
    <w:p w14:paraId="289E4D3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ordinance establishes a clear framework for the assessment and collection of local business taxes, fees, and charges from Registered Business Enterprises (RBEs) operating in Baguio City, in line with Republic Act No. 11534 (CREATE Act) and exis</w:t>
      </w:r>
      <w:r>
        <w:rPr>
          <w:rFonts w:ascii="Times New Roman" w:hAnsi="Times New Roman" w:eastAsia="Times New Roman" w:cs="Times New Roman"/>
          <w:color w:val="000000"/>
          <w:sz w:val="22"/>
          <w:szCs w:val="22"/>
          <w:highlight w:val="none"/>
        </w:rPr>
        <w:t xml:space="preserve">ting local government powers under the Constitution and the Local Government Code.</w:t>
      </w:r>
      <w:r/>
      <w:r/>
    </w:p>
    <w:p w14:paraId="133C882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t requires all RBEs, regardless of their registration with investment promotion agencies such as Philippine Economic Zone Authority (PEZA) or Board of Investments (BOI), to secure a business permit and pay applicable local taxes and regulatory fees before </w:t>
      </w:r>
      <w:r>
        <w:rPr>
          <w:rFonts w:ascii="Times New Roman" w:hAnsi="Times New Roman" w:eastAsia="Times New Roman" w:cs="Times New Roman"/>
          <w:color w:val="000000"/>
          <w:sz w:val="22"/>
          <w:szCs w:val="22"/>
          <w:highlight w:val="none"/>
        </w:rPr>
        <w:t xml:space="preserve">commencing operations. The ordinance emphasizes that business permits remain mandatory for all enterprises operating within the city, regardless of incentive status.</w:t>
      </w:r>
      <w:r/>
      <w:r/>
    </w:p>
    <w:p w14:paraId="4DBBAE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measure also clarifies the tax treatment of RBEs under different incentive regimes. Enterprises under Income Tax Holiday (ITH) are subject to local business taxes, as these are no longer exempt under the CREATE Act. Meanwhile, those under the Special Co</w:t>
      </w:r>
      <w:r>
        <w:rPr>
          <w:rFonts w:ascii="Times New Roman" w:hAnsi="Times New Roman" w:eastAsia="Times New Roman" w:cs="Times New Roman"/>
          <w:color w:val="000000"/>
          <w:sz w:val="22"/>
          <w:szCs w:val="22"/>
          <w:highlight w:val="none"/>
        </w:rPr>
        <w:t xml:space="preserve">rporate Income Tax (SCIT) regime are exempt from additional local business taxes but are required to remit the corresponding two percent share of gross income to the city, in accordance with national law.</w:t>
      </w:r>
      <w:r/>
      <w:r/>
    </w:p>
    <w:p w14:paraId="726BB0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ll RBEs, regardless of incentives, are likewise required to pay regulatory fees and charges imposed by the city based on their business activities. The City Treasurer is tasked with the proper assessment and collection of these fees to ensure accurate comp</w:t>
      </w:r>
      <w:r>
        <w:rPr>
          <w:rFonts w:ascii="Times New Roman" w:hAnsi="Times New Roman" w:eastAsia="Times New Roman" w:cs="Times New Roman"/>
          <w:color w:val="000000"/>
          <w:sz w:val="22"/>
          <w:szCs w:val="22"/>
          <w:highlight w:val="none"/>
        </w:rPr>
        <w:t xml:space="preserve">liance.</w:t>
      </w:r>
      <w:r/>
      <w:r/>
    </w:p>
    <w:p w14:paraId="460468F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further clarifies the application of the “sunset provision” under the CREATE Act, affirming that while existing income tax holiday privileges may continue for qualified RBEs, such exemptions apply only to national income taxes and do not exten</w:t>
      </w:r>
      <w:r>
        <w:rPr>
          <w:rFonts w:ascii="Times New Roman" w:hAnsi="Times New Roman" w:eastAsia="Times New Roman" w:cs="Times New Roman"/>
          <w:color w:val="000000"/>
          <w:sz w:val="22"/>
          <w:szCs w:val="22"/>
          <w:highlight w:val="none"/>
        </w:rPr>
        <w:t xml:space="preserve">d to local taxes, fees, and charges imposed by the city.</w:t>
      </w:r>
      <w:r/>
      <w:r/>
    </w:p>
    <w:p w14:paraId="42897CE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w:t>
      </w:r>
      <w:r>
        <w:rPr>
          <w:rFonts w:ascii="Times New Roman" w:hAnsi="Times New Roman" w:eastAsia="Times New Roman" w:cs="Times New Roman"/>
          <w:color w:val="000000"/>
          <w:sz w:val="22"/>
          <w:szCs w:val="22"/>
          <w:highlight w:val="none"/>
        </w:rPr>
        <w:t xml:space="preserve">ikewise, the measure provides that no business permit shall be issued to RBEs that fail to settle their local tax and fee obligations. It also authorizes the city government to enforce collection mechanisms under existing laws, ensuring compliance and supp</w:t>
      </w:r>
      <w:r>
        <w:rPr>
          <w:rFonts w:ascii="Times New Roman" w:hAnsi="Times New Roman" w:eastAsia="Times New Roman" w:cs="Times New Roman"/>
          <w:color w:val="000000"/>
          <w:sz w:val="22"/>
          <w:szCs w:val="22"/>
          <w:highlight w:val="none"/>
        </w:rPr>
        <w:t xml:space="preserve">orting a consistent, transparent, and predictable regulatory environment for businesses operating in Baguio City.</w:t>
      </w:r>
      <w:r/>
      <w:r/>
    </w:p>
    <w:p w14:paraId="0E6FFC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April 6, 2026 and subsequently referred to the Committee on Appropriations and Finance Cluster B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2026-05-24T13:03:02Z</dcterms:modified>
</cp:coreProperties>
</file>