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F26F06">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𝗦𝗔𝗟𝗩𝗢𝗦𝗔 𝗦𝗘𝗘𝗞𝗦 𝗧𝗜𝗚𝗛𝗧𝗘𝗥 𝗥𝗨𝗟𝗘𝗦 𝗢𝗡 𝗙𝗘𝗡𝗖𝗜𝗡𝗚 𝗣𝗘𝗥𝗠𝗜𝗧𝗦</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21EE667">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194FD9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ouncilor Paolo Raynor Salvosa has proposed an ordinance strengthening the issuance of fencing permits in Baguio City by introducing a risk-based classification system and stricter inter-agency review process to prevent the use of fencing applications to by</w:t>
      </w:r>
      <w:r>
        <w:rPr>
          <w:rFonts w:ascii="Times New Roman" w:hAnsi="Times New Roman" w:eastAsia="Times New Roman" w:cs="Times New Roman"/>
          <w:color w:val="000000"/>
          <w:sz w:val="22"/>
          <w:szCs w:val="22"/>
          <w:highlight w:val="none"/>
        </w:rPr>
        <w:t xml:space="preserve">pass full building permit requirements and to safeguard communities from unregulated development impacts.</w:t>
      </w:r>
      <w:r/>
      <w:r/>
    </w:p>
    <w:p w14:paraId="57EC3BA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proposed “Baguio City Fencing Permit Policy Guidelines” introduces a risk-based system for evaluating fencing permit applications, in line with Presidential Decree No. 1096 (National Building Code of the Philippines) and the Local Government Code, to en</w:t>
      </w:r>
      <w:r>
        <w:rPr>
          <w:rFonts w:ascii="Times New Roman" w:hAnsi="Times New Roman" w:eastAsia="Times New Roman" w:cs="Times New Roman"/>
          <w:color w:val="000000"/>
          <w:sz w:val="22"/>
          <w:szCs w:val="22"/>
          <w:highlight w:val="none"/>
        </w:rPr>
        <w:t xml:space="preserve">sure that fencing permits are not used to circumvent full building permit requirements or bypass community safeguards.</w:t>
      </w:r>
      <w:r/>
      <w:r/>
    </w:p>
    <w:p w14:paraId="7B22D7B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U</w:t>
      </w:r>
      <w:r>
        <w:rPr>
          <w:rFonts w:ascii="Times New Roman" w:hAnsi="Times New Roman" w:eastAsia="Times New Roman" w:cs="Times New Roman"/>
          <w:color w:val="000000"/>
          <w:sz w:val="22"/>
          <w:szCs w:val="22"/>
          <w:highlight w:val="none"/>
        </w:rPr>
        <w:t xml:space="preserve">nder the measure, all applications will be classified as low-risk, medium-risk, or high-risk based on factors such as height, slope, location, structural complexity, and potential impact on surrounding communities. Low-risk applications cover simple reside</w:t>
      </w:r>
      <w:r>
        <w:rPr>
          <w:rFonts w:ascii="Times New Roman" w:hAnsi="Times New Roman" w:eastAsia="Times New Roman" w:cs="Times New Roman"/>
          <w:color w:val="000000"/>
          <w:sz w:val="22"/>
          <w:szCs w:val="22"/>
          <w:highlight w:val="none"/>
        </w:rPr>
        <w:t xml:space="preserve">ntial boundary fences, while high-risk cases include taller or structurally complex fences, those located in hazard-prone or protected areas, or those that may block community pathways or support commercial and tourism-related developments.</w:t>
      </w:r>
      <w:r/>
      <w:r/>
    </w:p>
    <w:p w14:paraId="1D9C516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ordinance sets strict documentary requirements for all applicants, including proof of ownership, updated survey plans certified by licensed professionals, sworn declarations of purpose, barangay clearance with evidence of consultation, zoning and enviro</w:t>
      </w:r>
      <w:r>
        <w:rPr>
          <w:rFonts w:ascii="Times New Roman" w:hAnsi="Times New Roman" w:eastAsia="Times New Roman" w:cs="Times New Roman"/>
          <w:color w:val="000000"/>
          <w:sz w:val="22"/>
          <w:szCs w:val="22"/>
          <w:highlight w:val="none"/>
        </w:rPr>
        <w:t xml:space="preserve">nmental clearances, and complete fencing plans and specifications. </w:t>
      </w:r>
      <w:r/>
      <w:r/>
    </w:p>
    <w:p w14:paraId="7028BE2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Additional requirements are imposed depending on the risk classification, with high-risk applications subject to geotechnical studies, full barangay consultations, and possible reclassification for full building permit processing.</w:t>
      </w:r>
      <w:r/>
      <w:r/>
    </w:p>
    <w:p w14:paraId="4D5F8CA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P</w:t>
      </w:r>
      <w:r>
        <w:rPr>
          <w:rFonts w:ascii="Times New Roman" w:hAnsi="Times New Roman" w:eastAsia="Times New Roman" w:cs="Times New Roman"/>
          <w:color w:val="000000"/>
          <w:sz w:val="22"/>
          <w:szCs w:val="22"/>
          <w:highlight w:val="none"/>
        </w:rPr>
        <w:t xml:space="preserve">rocedurally, applications must be filed through the city’s online system or the City Buildings and Architecture Office (CBAO). The CBAO is required to issue a risk classification within three working days and conduct mandatory ocular inspections for all ap</w:t>
      </w:r>
      <w:r>
        <w:rPr>
          <w:rFonts w:ascii="Times New Roman" w:hAnsi="Times New Roman" w:eastAsia="Times New Roman" w:cs="Times New Roman"/>
          <w:color w:val="000000"/>
          <w:sz w:val="22"/>
          <w:szCs w:val="22"/>
          <w:highlight w:val="none"/>
        </w:rPr>
        <w:t xml:space="preserve">plications. </w:t>
      </w:r>
      <w:r/>
      <w:r/>
    </w:p>
    <w:p w14:paraId="304BB71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Processing timelines vary depending on risk level, with stricter and longer review periods for higher-risk projects. Appeals on classification may be filed with the City Planning, Development, and Sustainability Office.</w:t>
      </w:r>
      <w:r/>
      <w:r/>
    </w:p>
    <w:p w14:paraId="3CC1AB8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ordinance also introduces an escalation mechanism that requires immediate coordination among city offices when there is reasonable indication that a project is actually a major tourist or commercial attraction being built under a fencing permit. In such</w:t>
      </w:r>
      <w:r>
        <w:rPr>
          <w:rFonts w:ascii="Times New Roman" w:hAnsi="Times New Roman" w:eastAsia="Times New Roman" w:cs="Times New Roman"/>
          <w:color w:val="000000"/>
          <w:sz w:val="22"/>
          <w:szCs w:val="22"/>
          <w:highlight w:val="none"/>
        </w:rPr>
        <w:t xml:space="preserve"> cases, the city may issue a stop-work order and pursue legal remedies including the filing of a Temporary Restraining Order to prevent further construction and avoid irreversible community disruption.</w:t>
      </w:r>
      <w:r/>
      <w:r/>
    </w:p>
    <w:p w14:paraId="64C5CED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measure also strengthens accountability by penalizing public officials who misclassify applications, bypass required inspections, or fail to act on violations. Contractors and professionals involved in violations may face administrative sanctions, black</w:t>
      </w:r>
      <w:r>
        <w:rPr>
          <w:rFonts w:ascii="Times New Roman" w:hAnsi="Times New Roman" w:eastAsia="Times New Roman" w:cs="Times New Roman"/>
          <w:color w:val="000000"/>
          <w:sz w:val="22"/>
          <w:szCs w:val="22"/>
          <w:highlight w:val="none"/>
        </w:rPr>
        <w:t xml:space="preserve">listing, license referral to regulatory bodies, and other penalties under applicable laws.</w:t>
      </w:r>
      <w:r/>
      <w:r/>
    </w:p>
    <w:p w14:paraId="480E582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w:t>
      </w:r>
      <w:r>
        <w:rPr>
          <w:rFonts w:ascii="Times New Roman" w:hAnsi="Times New Roman" w:eastAsia="Times New Roman" w:cs="Times New Roman"/>
          <w:color w:val="000000"/>
          <w:sz w:val="22"/>
          <w:szCs w:val="22"/>
          <w:highlight w:val="none"/>
        </w:rPr>
        <w:t xml:space="preserve">ny fencing permit found to have been issued in violation of the ordinance shall be revoked. The owner is required to secure the proper building permit, comply with all assessments and consultations, and shoulder all costs for retroactive compliance. Failur</w:t>
      </w:r>
      <w:r>
        <w:rPr>
          <w:rFonts w:ascii="Times New Roman" w:hAnsi="Times New Roman" w:eastAsia="Times New Roman" w:cs="Times New Roman"/>
          <w:color w:val="000000"/>
          <w:sz w:val="22"/>
          <w:szCs w:val="22"/>
          <w:highlight w:val="none"/>
        </w:rPr>
        <w:t xml:space="preserve">e to comply may result in closure or demolition of the structure, with enforcement actions initiated by the City Legal Office.</w:t>
      </w:r>
      <w:r/>
      <w:r/>
    </w:p>
    <w:p w14:paraId="37C2AF3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proposed ordinance was approved on first reading by the Baguio City Council on April 6, 2026 and subsequently referred to the Committee on Urban Planning, Lands, and Housing for review.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2026-05-24T13:03:17Z</dcterms:modified>
</cp:coreProperties>
</file>