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E36873">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𝗬𝗔𝗡𝗚𝗢𝗧 𝗣𝗨𝗦𝗛𝗘𝗦 𝗖𝗥𝗘𝗔𝗧𝗜𝗢𝗡 𝗢𝗙 𝗖𝗜𝗧𝗬 𝗗𝗔𝗧𝗔 𝗣𝗥𝗜𝗩𝗔𝗖𝗬 𝗢𝗙𝗙𝗜𝗖𝗘</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5254F6A">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25FEE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 Leandro Yangot has proposed an ordinance formalizing a City Data Privacy Office under the Management Information and Technology Division (MITD) and setting uniform data protection standards for all city departments and the 128 barangays in line wi</w:t>
      </w:r>
      <w:r>
        <w:rPr>
          <w:rFonts w:ascii="Times New Roman" w:hAnsi="Times New Roman" w:eastAsia="Times New Roman" w:cs="Times New Roman"/>
          <w:color w:val="000000"/>
          <w:sz w:val="22"/>
          <w:szCs w:val="22"/>
          <w:highlight w:val="none"/>
        </w:rPr>
        <w:t xml:space="preserve">th Republic Act No. 10173.</w:t>
      </w:r>
      <w:r/>
      <w:r/>
    </w:p>
    <w:p w14:paraId="7855057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measure covers all city departments, offices, and the 128 barangays of Baguio City, recognizing all of them as Personal Information Controllers responsible for safeguarding personal data collected in the course of public service delivery.</w:t>
      </w:r>
      <w:r/>
      <w:r/>
    </w:p>
    <w:p w14:paraId="378A285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ordinance, once enacted, will formally create the City Data Privacy Office under the MITD. This office will be headed by a Data Protection Officer and will institutionalize the functions previously handled in an informal or designated capacity. It will </w:t>
      </w:r>
      <w:r>
        <w:rPr>
          <w:rFonts w:ascii="Times New Roman" w:hAnsi="Times New Roman" w:eastAsia="Times New Roman" w:cs="Times New Roman"/>
          <w:color w:val="000000"/>
          <w:sz w:val="22"/>
          <w:szCs w:val="22"/>
          <w:highlight w:val="none"/>
        </w:rPr>
        <w:t xml:space="preserve">be responsible for monitoring compliance with data privacy laws, maintaining records of data processing activities, coordinating with the National Privacy Commission (NPC), and overseeing privacy-related concerns across all city offices and barangays.</w:t>
      </w:r>
      <w:r/>
      <w:r/>
    </w:p>
    <w:p w14:paraId="0D69B78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office will also be tasked to ensure the conduct of Privacy Impact Assessments for all systems involving personal data, manage data breach response and reporting, and develop mechanisms that allow individuals to exercise their rights over their personal</w:t>
      </w:r>
      <w:r>
        <w:rPr>
          <w:rFonts w:ascii="Times New Roman" w:hAnsi="Times New Roman" w:eastAsia="Times New Roman" w:cs="Times New Roman"/>
          <w:color w:val="000000"/>
          <w:sz w:val="22"/>
          <w:szCs w:val="22"/>
          <w:highlight w:val="none"/>
        </w:rPr>
        <w:t xml:space="preserve"> information. It will further lead the development of privacy policies, conduct trainings, and promote awareness on data protection across the city government.</w:t>
      </w:r>
      <w:r/>
      <w:r/>
    </w:p>
    <w:p w14:paraId="1C9AEC4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ordinance requires every department and barangay to designate a Compliance Officer for Privacy who will serve as the local focal person for data protection and assist the City Data Privacy Office in implementing privacy measures.</w:t>
      </w:r>
      <w:r/>
      <w:r/>
    </w:p>
    <w:p w14:paraId="7D8C10D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w:t>
      </w:r>
      <w:r>
        <w:rPr>
          <w:rFonts w:ascii="Times New Roman" w:hAnsi="Times New Roman" w:eastAsia="Times New Roman" w:cs="Times New Roman"/>
          <w:color w:val="000000"/>
          <w:sz w:val="22"/>
          <w:szCs w:val="22"/>
          <w:highlight w:val="none"/>
        </w:rPr>
        <w:t xml:space="preserve">t also mandates the adoption of Privacy Management Programs and Privacy Manuals, as well as the implementation of organizational, technical, and physical safeguards such as encryption, access controls, and secure data disposal systems to protect personal i</w:t>
      </w:r>
      <w:r>
        <w:rPr>
          <w:rFonts w:ascii="Times New Roman" w:hAnsi="Times New Roman" w:eastAsia="Times New Roman" w:cs="Times New Roman"/>
          <w:color w:val="000000"/>
          <w:sz w:val="22"/>
          <w:szCs w:val="22"/>
          <w:highlight w:val="none"/>
        </w:rPr>
        <w:t xml:space="preserve">nformation from unauthorized access or misuse.</w:t>
      </w:r>
      <w:r/>
      <w:r/>
    </w:p>
    <w:p w14:paraId="6A43E31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o ensure proper response to incidents, the ordinance creates a Data Breach Response Team tasked with handling security incidents, assessing risks, coordinating with law enforcement, and ensuring timely notification to the National Privacy Commission and af</w:t>
      </w:r>
      <w:r>
        <w:rPr>
          <w:rFonts w:ascii="Times New Roman" w:hAnsi="Times New Roman" w:eastAsia="Times New Roman" w:cs="Times New Roman"/>
          <w:color w:val="000000"/>
          <w:sz w:val="22"/>
          <w:szCs w:val="22"/>
          <w:highlight w:val="none"/>
        </w:rPr>
        <w:t xml:space="preserve">fected individuals when necessary.</w:t>
      </w:r>
      <w:r/>
      <w:r/>
    </w:p>
    <w:p w14:paraId="308AEC4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L</w:t>
      </w:r>
      <w:r>
        <w:rPr>
          <w:rFonts w:ascii="Times New Roman" w:hAnsi="Times New Roman" w:eastAsia="Times New Roman" w:cs="Times New Roman"/>
          <w:color w:val="000000"/>
          <w:sz w:val="22"/>
          <w:szCs w:val="22"/>
          <w:highlight w:val="none"/>
        </w:rPr>
        <w:t xml:space="preserve">ikewise, the measure outlines procedures for the exercise of data subject rights, requires regular training and awareness campaigns, and sets funding provisions to support the implementation of all data protection systems and offices under the city governm</w:t>
      </w:r>
      <w:r>
        <w:rPr>
          <w:rFonts w:ascii="Times New Roman" w:hAnsi="Times New Roman" w:eastAsia="Times New Roman" w:cs="Times New Roman"/>
          <w:color w:val="000000"/>
          <w:sz w:val="22"/>
          <w:szCs w:val="22"/>
          <w:highlight w:val="none"/>
        </w:rPr>
        <w:t xml:space="preserve">ent.</w:t>
      </w:r>
      <w:r/>
      <w:r/>
    </w:p>
    <w:p w14:paraId="219840F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first reading by the Baguio City Council on March 30, 2026 and subsequently referred to the Committee on Ethics, Governmental Affairs, and Personnel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2026-05-24T13:04:20Z</dcterms:modified>
</cp:coreProperties>
</file>