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ABED08">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𝗖𝗗𝗥𝗥𝗠𝗢 𝗕𝗥𝗜𝗘𝗙𝗦 𝗕𝗔𝗥𝗔𝗡𝗚𝗔𝗬𝗦 𝗢𝗡 𝗨𝗦𝗘 𝗢𝗙 𝗤𝗨𝗜𝗖𝗞 𝗥𝗘𝗦𝗣𝗢𝗡𝗦𝗘 𝗙𝗨𝗡𝗗 𝗨𝗡𝗗𝗘𝗥 𝗦𝗧𝗔𝗧𝗘 𝗢𝗙 𝗖𝗔𝗟𝗔𝗠𝗜𝗧𝗬 </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EC4DC61">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EF5534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B</w:t>
      </w:r>
      <w:r>
        <w:rPr>
          <w:rFonts w:ascii="Times New Roman" w:hAnsi="Times New Roman" w:eastAsia="Times New Roman" w:cs="Times New Roman"/>
          <w:color w:val="000000"/>
          <w:sz w:val="22"/>
          <w:szCs w:val="22"/>
          <w:highlight w:val="none"/>
        </w:rPr>
        <w:t xml:space="preserve">arangay officials in Baguio City were oriented on the allowable uses and procedures for accessing their respective Quick Response Funds (QRF) following the city government’s declaration of a State of Calamity in response to the ongoing energy emergency in </w:t>
      </w:r>
      <w:r>
        <w:rPr>
          <w:rFonts w:ascii="Times New Roman" w:hAnsi="Times New Roman" w:eastAsia="Times New Roman" w:cs="Times New Roman"/>
          <w:color w:val="000000"/>
          <w:sz w:val="22"/>
          <w:szCs w:val="22"/>
          <w:highlight w:val="none"/>
        </w:rPr>
        <w:t xml:space="preserve">the country.</w:t>
      </w:r>
      <w:r/>
      <w:r/>
    </w:p>
    <w:p w14:paraId="182D9F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During an online meeting, City Disaster Risk Reduction and Management Officer-in-Charge Engr. Charles Bryan Carame said the declaration enables the city government to access its QRF amounting to more than P52 million.</w:t>
      </w:r>
      <w:r/>
      <w:r/>
    </w:p>
    <w:p w14:paraId="58291F1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Under City Council Resolutions Nos. 257-2026 and 258-2026, the QRF may be utilized for fuel subsidies to help mitigate the impact of the crisis on the transportation sector.</w:t>
      </w:r>
      <w:r/>
      <w:r/>
    </w:p>
    <w:p w14:paraId="43D52D0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has been subsidizing jeepney trips, particularly return trips (backloads) at night, to ensure the availability of transportation for commuters. The city is also providing “Libreng Sakay” services on identified routes using vehicles from the city go</w:t>
      </w:r>
      <w:r>
        <w:rPr>
          <w:rFonts w:ascii="Times New Roman" w:hAnsi="Times New Roman" w:eastAsia="Times New Roman" w:cs="Times New Roman"/>
          <w:color w:val="000000"/>
          <w:sz w:val="22"/>
          <w:szCs w:val="22"/>
          <w:highlight w:val="none"/>
        </w:rPr>
        <w:t xml:space="preserve">vernment’s Public Order and Safety Division, as well as buses from the Philippine Military Academy and vehicles from the Baguio City Police Office.</w:t>
      </w:r>
      <w:r/>
      <w:r/>
    </w:p>
    <w:p w14:paraId="2DC0DA6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Carame said barangays may also access their QRF, provided they first exhaust their regular budget allocations for fuel expenses before tapping into emergency funds.</w:t>
      </w:r>
      <w:r/>
      <w:r/>
    </w:p>
    <w:p w14:paraId="23C5A99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“We need to be strategic in our spending to avoid depleting our QRF within the first semester of the year. El Niño has already been declared by the state weather bureau, and we are also expecting typhoons in the second half of 2026,” Carame said.</w:t>
      </w:r>
      <w:r/>
      <w:r/>
    </w:p>
    <w:p w14:paraId="7FAB32E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He likewise emphasized the importance of complying with accounting and auditing rules.</w:t>
      </w:r>
      <w:r/>
      <w:r/>
    </w:p>
    <w:p w14:paraId="246828F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During the meeting, barangay officials inquired whether they could use their QRF to purchase vehicles for public transportation or provide rice subsidies to households.</w:t>
      </w:r>
      <w:r/>
      <w:r/>
    </w:p>
    <w:p w14:paraId="0C6417A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Carame clarified that such expenditures should be charged against the barangays’ regular funds if identified as Disaster Risk Reduction and Management (DRRM) priority needs.</w:t>
      </w:r>
      <w:r/>
      <w:r/>
    </w:p>
    <w:p w14:paraId="5858CAE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city government already has a rice subsidy program with targeted beneficiaries, and the Commission on Audit may question redundant budget allocations,” he explained.</w:t>
      </w:r>
      <w:r/>
      <w:r/>
    </w:p>
    <w:p w14:paraId="5F8F361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Meanwhile, the City Accounting Office noted that barangays with unapproved 2026 budgets may still utilize their QRF under a 2025 reenacted budget scheme as a basis. — JM Samidan</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2026-05-24T13:09:02Z</dcterms:modified>
</cp:coreProperties>
</file>