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8336C1">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𝗭𝗘𝗥𝗢-𝗙𝗘𝗘 𝗣𝗢𝗟𝗜𝗖𝗬 𝗙𝗢𝗥 𝗕𝗔𝗚𝗨𝗜𝗢 𝗣𝗨𝗕𝗟𝗜𝗖 𝗦𝗖𝗛𝗢𝗢𝗟𝗦 𝗣𝗨𝗦𝗛𝗘𝗗</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3C86345">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E935A8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 </w:t>
      </w: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 Leandro Yangot Jr. has proposed an ordinance ensuring that all learners in the city’s public schools from elementary to senior high will not be required to pay any mandatory school fees to protect students’ right to free education, prevent financi</w:t>
      </w:r>
      <w:r>
        <w:rPr>
          <w:rFonts w:ascii="Times New Roman" w:hAnsi="Times New Roman" w:eastAsia="Times New Roman" w:cs="Times New Roman"/>
          <w:color w:val="000000"/>
          <w:sz w:val="22"/>
          <w:szCs w:val="22"/>
          <w:highlight w:val="none"/>
        </w:rPr>
        <w:t xml:space="preserve">al barriers from affecting enrollment or attendance, and promote equal access to learning opportunities for all.</w:t>
      </w:r>
      <w:r/>
      <w:r/>
    </w:p>
    <w:p w14:paraId="454E5A9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proposed ordinance applies to all public elementary, junior high, and senior high schools within Baguio City, prohibiting the collection of any mandatory fees. This includes enrollment or registration fees, miscellaneous school charges, payments for pro</w:t>
      </w:r>
      <w:r>
        <w:rPr>
          <w:rFonts w:ascii="Times New Roman" w:hAnsi="Times New Roman" w:eastAsia="Times New Roman" w:cs="Times New Roman"/>
          <w:color w:val="000000"/>
          <w:sz w:val="22"/>
          <w:szCs w:val="22"/>
          <w:highlight w:val="none"/>
        </w:rPr>
        <w:t xml:space="preserve">jects or school activities, and any fees that are a prerequisite for attending or graduating from school. </w:t>
      </w:r>
      <w:r/>
      <w:r/>
    </w:p>
    <w:p w14:paraId="403ED8F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measure also clarifies that no student may be denied access to education for inability to pay.</w:t>
      </w:r>
      <w:r/>
      <w:r/>
    </w:p>
    <w:p w14:paraId="620080C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V</w:t>
      </w:r>
      <w:r>
        <w:rPr>
          <w:rFonts w:ascii="Times New Roman" w:hAnsi="Times New Roman" w:eastAsia="Times New Roman" w:cs="Times New Roman"/>
          <w:color w:val="000000"/>
          <w:sz w:val="22"/>
          <w:szCs w:val="22"/>
          <w:highlight w:val="none"/>
        </w:rPr>
        <w:t xml:space="preserve">oluntary donations may still be accepted, but only under strict conditions: they must be entirely optional, students and parents cannot be pressured or coerced into contributing, and those who do not give must not face discrimination, exclusion from activi</w:t>
      </w:r>
      <w:r>
        <w:rPr>
          <w:rFonts w:ascii="Times New Roman" w:hAnsi="Times New Roman" w:eastAsia="Times New Roman" w:cs="Times New Roman"/>
          <w:color w:val="000000"/>
          <w:sz w:val="22"/>
          <w:szCs w:val="22"/>
          <w:highlight w:val="none"/>
        </w:rPr>
        <w:t xml:space="preserve">ties, or any form of academic prejudice.</w:t>
      </w:r>
      <w:r/>
      <w:r/>
    </w:p>
    <w:p w14:paraId="69941B9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chool administrators and teachers are tasked with ensuring full compliance with the ordinance. They must inform students and parents that public education is free, uphold the policy in all school operations, and guarantee that no student is embarrassed or </w:t>
      </w:r>
      <w:r>
        <w:rPr>
          <w:rFonts w:ascii="Times New Roman" w:hAnsi="Times New Roman" w:eastAsia="Times New Roman" w:cs="Times New Roman"/>
          <w:color w:val="000000"/>
          <w:sz w:val="22"/>
          <w:szCs w:val="22"/>
          <w:highlight w:val="none"/>
        </w:rPr>
        <w:t xml:space="preserve">disadvantaged due to non-payment of voluntary contributions.</w:t>
      </w:r>
      <w:r/>
      <w:r/>
    </w:p>
    <w:p w14:paraId="01BAA51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City Government, in coordination with the Department of Education (DepEd) Schools Division Office-Baguio, will monitor schools for adherence to the ordinance. A complaint mechanism will be established through the City Mayor’s Office to address any viola</w:t>
      </w:r>
      <w:r>
        <w:rPr>
          <w:rFonts w:ascii="Times New Roman" w:hAnsi="Times New Roman" w:eastAsia="Times New Roman" w:cs="Times New Roman"/>
          <w:color w:val="000000"/>
          <w:sz w:val="22"/>
          <w:szCs w:val="22"/>
          <w:highlight w:val="none"/>
        </w:rPr>
        <w:t xml:space="preserve">tions or concerns.</w:t>
      </w:r>
      <w:r/>
      <w:r/>
    </w:p>
    <w:p w14:paraId="7D141A2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chool officials or staff found in violation of the ordinance will face administrative action in accordance with existing Civil Service rules, DepEd regulations, and other applicable laws, ensuring accountability and the protection of students’ rights to fr</w:t>
      </w:r>
      <w:r>
        <w:rPr>
          <w:rFonts w:ascii="Times New Roman" w:hAnsi="Times New Roman" w:eastAsia="Times New Roman" w:cs="Times New Roman"/>
          <w:color w:val="000000"/>
          <w:sz w:val="22"/>
          <w:szCs w:val="22"/>
          <w:highlight w:val="none"/>
        </w:rPr>
        <w:t xml:space="preserve">ee education.</w:t>
      </w:r>
      <w:r/>
      <w:r/>
    </w:p>
    <w:p w14:paraId="3558B49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has been approved on first reading by the Baguio City Council and referred to the Committee on  Education, Creativity, ICT, and Non-IP, Culture, and Historical Research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2026-05-24T13:09:18Z</dcterms:modified>
</cp:coreProperties>
</file>