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E1F0A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2"/>
          <w:szCs w:val="22"/>
          <w:highlight w:val="none"/>
        </w:rPr>
      </w:pP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t xml:space="preserve">Title/Topic: </w:t>
      </w:r>
      <w:r>
        <w:rPr>
          <w:rFonts w:ascii="Times New Roman" w:hAnsi="Times New Roman" w:eastAsia="Times New Roman" w:cs="Times New Roman"/>
          <w:color w:val="000000"/>
          <w:sz w:val="22"/>
          <w:szCs w:val="22"/>
        </w:rPr>
        <w:t xml:space="preserve">𝗖𝗔𝗬𝗔𝗕𝗔𝗦 𝗣𝗨𝗦𝗛𝗘𝗦 𝗙𝗢𝗥 𝗟𝗜𝗙𝗘𝗟𝗢𝗡𝗚 𝗟𝗘𝗔𝗥𝗡𝗜𝗡𝗚 𝗖𝗢𝗨𝗡𝗖𝗜𝗟 𝗧𝗢 𝗔𝗗𝗩𝗔𝗡𝗖𝗘 𝗜𝗡𝗖𝗟𝗨𝗦𝗜𝗩𝗘 𝗘𝗗𝗨𝗖𝗔𝗧𝗜𝗢𝗡</w:t>
      </w:r>
      <w:r>
        <w:rPr>
          <w:rFonts w:ascii="Times New Roman" w:hAnsi="Times New Roman" w:eastAsia="Times New Roman" w:cs="Times New Roman"/>
          <w:sz w:val="22"/>
          <w:szCs w:val="22"/>
          <w:highlight w:val="none"/>
        </w:rPr>
      </w:r>
      <w:r>
        <w:rPr>
          <w:rFonts w:ascii="Times New Roman" w:hAnsi="Times New Roman" w:eastAsia="Times New Roman" w:cs="Times New Roman"/>
          <w:sz w:val="22"/>
          <w:szCs w:val="22"/>
          <w:highlight w:val="none"/>
        </w:rPr>
      </w:r>
    </w:p>
    <w:p w14:paraId="6D464BB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sz w:val="22"/>
          <w:szCs w:val="22"/>
          <w:highlight w:val="none"/>
        </w:rPr>
        <w:t xml:space="preserve">Content:</w:t>
        <w:br/>
      </w:r>
      <w:r>
        <w:rPr>
          <w:rFonts w:ascii="Times New Roman" w:hAnsi="Times New Roman" w:eastAsia="Times New Roman" w:cs="Times New Roman"/>
          <w:color w:val="000000"/>
          <w:sz w:val="22"/>
          <w:szCs w:val="22"/>
        </w:rPr>
        <w:t xml:space="preserve">Councilor Vladimir Cayabas has proposed an ordinance creating the Baguio City Lifelong Learning Council to institutionalize programs and policies that promote continuous, inclusive, and equitable learning opportunities for residents at all stages of life.</w:t>
      </w:r>
      <w:r>
        <w:rPr>
          <w:sz w:val="22"/>
          <w:szCs w:val="22"/>
        </w:rPr>
      </w:r>
      <w:r>
        <w:rPr>
          <w:sz w:val="22"/>
          <w:szCs w:val="22"/>
        </w:rPr>
      </w:r>
    </w:p>
    <w:p w14:paraId="2CE5FDEE">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formally creates the Baguio City Lifelong Learning Council (BCLLC) as a multi-sectoral body tasked with advancing the city’s vision as an inclusive and globally aligned learning city. </w:t>
      </w:r>
      <w:r>
        <w:rPr>
          <w:sz w:val="22"/>
          <w:szCs w:val="22"/>
        </w:rPr>
      </w:r>
      <w:r>
        <w:rPr>
          <w:sz w:val="22"/>
          <w:szCs w:val="22"/>
        </w:rPr>
      </w:r>
    </w:p>
    <w:p w14:paraId="1D603EB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anchors its policy direction on lifelong learning principles, emphasizing that education is a continuous process accessible to all citizens regardless of age, background, or circumstance. The measure also reinforces the city’s commitment to the United N</w:t>
      </w:r>
      <w:r>
        <w:rPr>
          <w:rFonts w:ascii="Times New Roman" w:hAnsi="Times New Roman" w:eastAsia="Times New Roman" w:cs="Times New Roman"/>
          <w:color w:val="000000"/>
          <w:sz w:val="22"/>
          <w:szCs w:val="22"/>
        </w:rPr>
        <w:t xml:space="preserve">ations Sustainable Development Goals and its membership in the UNESCO Global Network of Learning Cities.</w:t>
      </w:r>
      <w:r>
        <w:rPr>
          <w:sz w:val="22"/>
          <w:szCs w:val="22"/>
        </w:rPr>
      </w:r>
      <w:r>
        <w:rPr>
          <w:sz w:val="22"/>
          <w:szCs w:val="22"/>
        </w:rPr>
      </w:r>
    </w:p>
    <w:p w14:paraId="40BAB3E2">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BCLLC is mandated to translate lifelong learning frameworks into concrete local programs and initiatives. It is tasked to mobilize available learning spaces across the city including schools, universities, libraries, community learning centers, workpla</w:t>
      </w:r>
      <w:r>
        <w:rPr>
          <w:rFonts w:ascii="Times New Roman" w:hAnsi="Times New Roman" w:eastAsia="Times New Roman" w:cs="Times New Roman"/>
          <w:color w:val="000000"/>
          <w:sz w:val="22"/>
          <w:szCs w:val="22"/>
        </w:rPr>
        <w:t xml:space="preserve">ces, cultural institutions, Indigenous Peoples’ centers, and digital platforms to ensure that learning opportunities are accessible throughout all stages of life.</w:t>
      </w:r>
      <w:r>
        <w:rPr>
          <w:sz w:val="22"/>
          <w:szCs w:val="22"/>
        </w:rPr>
      </w:r>
      <w:r>
        <w:rPr>
          <w:sz w:val="22"/>
          <w:szCs w:val="22"/>
        </w:rPr>
      </w:r>
    </w:p>
    <w:p w14:paraId="5200D41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BCLLC is composed of representatives from the city government and education sector including the City Mayor as Chairperson, the Schools Division Superintendent, the BaguioCity Council’s Committee on Education, representatives from the Technical Educati</w:t>
      </w:r>
      <w:r>
        <w:rPr>
          <w:rFonts w:ascii="Times New Roman" w:hAnsi="Times New Roman" w:eastAsia="Times New Roman" w:cs="Times New Roman"/>
          <w:color w:val="000000"/>
          <w:sz w:val="22"/>
          <w:szCs w:val="22"/>
        </w:rPr>
        <w:t xml:space="preserve">on and Skills Development Authority and Commission on Higher Education, early childhood care and development stakeholders, the City Librarian, academic institutions such as the Philippine Science High School-CAR, private schools and universities, civil soc</w:t>
      </w:r>
      <w:r>
        <w:rPr>
          <w:rFonts w:ascii="Times New Roman" w:hAnsi="Times New Roman" w:eastAsia="Times New Roman" w:cs="Times New Roman"/>
          <w:color w:val="000000"/>
          <w:sz w:val="22"/>
          <w:szCs w:val="22"/>
        </w:rPr>
        <w:t xml:space="preserve">iety organizations, and city offices such as the City Planning, Development and Sustainability Office and the Public Information Office.</w:t>
      </w:r>
      <w:r>
        <w:rPr>
          <w:sz w:val="22"/>
          <w:szCs w:val="22"/>
        </w:rPr>
      </w:r>
      <w:r>
        <w:rPr>
          <w:sz w:val="22"/>
          <w:szCs w:val="22"/>
        </w:rPr>
      </w:r>
    </w:p>
    <w:p w14:paraId="663886E9">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BCLLC serves as the lead policy and coordinating body for lifelong learning in the city. It is responsible for developing the city’s lifelong learning agenda, recommending policy measures to the Baguio City Council, conducting regular assessments of le</w:t>
      </w:r>
      <w:r>
        <w:rPr>
          <w:rFonts w:ascii="Times New Roman" w:hAnsi="Times New Roman" w:eastAsia="Times New Roman" w:cs="Times New Roman"/>
          <w:color w:val="000000"/>
          <w:sz w:val="22"/>
          <w:szCs w:val="22"/>
        </w:rPr>
        <w:t xml:space="preserve">arning programs, and strengthening capacity-building initiatives for educators and volunteers. </w:t>
      </w:r>
      <w:r>
        <w:rPr>
          <w:sz w:val="22"/>
          <w:szCs w:val="22"/>
        </w:rPr>
      </w:r>
      <w:r>
        <w:rPr>
          <w:sz w:val="22"/>
          <w:szCs w:val="22"/>
        </w:rPr>
      </w:r>
    </w:p>
    <w:p w14:paraId="367E330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It is also tasked with promoting a “whole-of-city” approach by linking formal, non-formal, and informal learning systems and ensuring integration across sectors and communities.</w:t>
      </w:r>
      <w:r>
        <w:rPr>
          <w:sz w:val="22"/>
          <w:szCs w:val="22"/>
        </w:rPr>
      </w:r>
      <w:r>
        <w:rPr>
          <w:sz w:val="22"/>
          <w:szCs w:val="22"/>
        </w:rPr>
      </w:r>
    </w:p>
    <w:p w14:paraId="2BCCB8F7">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ordinance designates the City Administrator’s Office as the implementing arm of the BCLLC, pending the creation of a dedicated local education office. It will support coordination, implementation, and reporting of council-approved programs and activiti</w:t>
      </w:r>
      <w:r>
        <w:rPr>
          <w:rFonts w:ascii="Times New Roman" w:hAnsi="Times New Roman" w:eastAsia="Times New Roman" w:cs="Times New Roman"/>
          <w:color w:val="000000"/>
          <w:sz w:val="22"/>
          <w:szCs w:val="22"/>
        </w:rPr>
        <w:t xml:space="preserve">es. </w:t>
      </w:r>
      <w:r>
        <w:rPr>
          <w:sz w:val="22"/>
          <w:szCs w:val="22"/>
        </w:rPr>
      </w:r>
      <w:r>
        <w:rPr>
          <w:sz w:val="22"/>
          <w:szCs w:val="22"/>
        </w:rPr>
      </w:r>
    </w:p>
    <w:p w14:paraId="6208CCFF">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BCLLC is also required to hold regular meetings every two months, or more frequently as necessary, to ensure effective policy direction and monitoring.</w:t>
      </w:r>
      <w:r>
        <w:rPr>
          <w:sz w:val="22"/>
          <w:szCs w:val="22"/>
        </w:rPr>
      </w:r>
      <w:r>
        <w:rPr>
          <w:sz w:val="22"/>
          <w:szCs w:val="22"/>
        </w:rPr>
      </w:r>
    </w:p>
    <w:p w14:paraId="538ED134">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To support its operations, the ordinance appropriates an initial annual budget of P1.5 million under the City Mayor’s Office. This funding will be used for program implementation, policy research, consultations, benchmarking activities, annual summits, mee</w:t>
      </w:r>
      <w:r>
        <w:rPr>
          <w:rFonts w:ascii="Times New Roman" w:hAnsi="Times New Roman" w:eastAsia="Times New Roman" w:cs="Times New Roman"/>
          <w:color w:val="000000"/>
          <w:sz w:val="22"/>
          <w:szCs w:val="22"/>
        </w:rPr>
        <w:t xml:space="preserve">tings, and other allowable operational expenses, subject to existing government accounting and auditing rules.</w:t>
      </w:r>
      <w:r>
        <w:rPr>
          <w:sz w:val="22"/>
          <w:szCs w:val="22"/>
        </w:rPr>
      </w:r>
      <w:r>
        <w:rPr>
          <w:sz w:val="22"/>
          <w:szCs w:val="22"/>
        </w:rPr>
      </w:r>
    </w:p>
    <w:p w14:paraId="30595803">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Times New Roman" w:hAnsi="Times New Roman" w:eastAsia="Times New Roman" w:cs="Times New Roman"/>
          <w:color w:val="000000"/>
          <w:sz w:val="22"/>
          <w:szCs w:val="22"/>
        </w:rPr>
        <w:t xml:space="preserve">The proposed ordinance was approved on second reading and for publication by the Baguio Council on April 20, 2026. -Jordan G. Habbiling</w:t>
      </w:r>
      <w:r>
        <w:rPr>
          <w:sz w:val="22"/>
          <w:szCs w:val="22"/>
        </w:rPr>
      </w:r>
      <w:r>
        <w:rPr>
          <w:sz w:val="22"/>
          <w:szCs w:val="22"/>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2026-05-24T12:58:12Z</dcterms:modified>
</cp:coreProperties>
</file>