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66E3456">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sz w:val="22"/>
          <w:szCs w:val="22"/>
          <w:highlight w:val="none"/>
        </w:rPr>
        <w:t xml:space="preserve">Title/Topic: </w:t>
      </w:r>
      <w:r>
        <w:rPr>
          <w:rFonts w:ascii="Times New Roman" w:hAnsi="Times New Roman" w:eastAsia="Times New Roman" w:cs="Times New Roman"/>
          <w:color w:val="000000"/>
          <w:sz w:val="22"/>
          <w:szCs w:val="22"/>
        </w:rPr>
        <w:t xml:space="preserve">𝗕𝗔𝗡 𝗢𝗡 𝗣𝗨𝗕𝗟𝗜𝗖 𝗢𝗙𝗙𝗜𝗖𝗜𝗔𝗟 𝗙𝗥𝗢𝗠 𝗚𝗢𝗩𝗘𝗥𝗡𝗠𝗘𝗡𝗧 𝗔𝗜𝗗 𝗗𝗜𝗦𝗧𝗥𝗜𝗕𝗨𝗧𝗜𝗢𝗡 𝗣𝗨𝗦𝗛𝗘𝗗</w:t>
      </w:r>
      <w:r>
        <w:rPr>
          <w:sz w:val="22"/>
          <w:szCs w:val="22"/>
        </w:rPr>
      </w:r>
      <w:r>
        <w:rPr>
          <w:sz w:val="22"/>
          <w:szCs w:val="22"/>
        </w:rPr>
      </w:r>
    </w:p>
    <w:p w14:paraId="60A7E637">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sz w:val="22"/>
          <w:szCs w:val="22"/>
          <w:highlight w:val="none"/>
        </w:rPr>
        <w:t xml:space="preserve">Content:</w:t>
        <w:br/>
      </w:r>
      <w:r>
        <w:rPr>
          <w:rFonts w:ascii="Times New Roman" w:hAnsi="Times New Roman" w:eastAsia="Times New Roman" w:cs="Times New Roman"/>
          <w:color w:val="000000"/>
          <w:sz w:val="22"/>
          <w:szCs w:val="22"/>
        </w:rPr>
        <w:t xml:space="preserve">Councilor Yuri Weygan has proposed an ordinance prohibiting the presence and personal attribution of public officials during the distribution of financial assistance, relief goods, subsidies, and similar forms of government aid in a bid to ensure that soci</w:t>
      </w:r>
      <w:r>
        <w:rPr>
          <w:rFonts w:ascii="Times New Roman" w:hAnsi="Times New Roman" w:eastAsia="Times New Roman" w:cs="Times New Roman"/>
          <w:color w:val="000000"/>
          <w:sz w:val="22"/>
          <w:szCs w:val="22"/>
        </w:rPr>
        <w:t xml:space="preserve">al services are delivered in a strictly non-partisan and institutional manner.</w:t>
      </w:r>
      <w:r>
        <w:rPr>
          <w:sz w:val="22"/>
          <w:szCs w:val="22"/>
        </w:rPr>
      </w:r>
      <w:r>
        <w:rPr>
          <w:sz w:val="22"/>
          <w:szCs w:val="22"/>
        </w:rPr>
      </w:r>
    </w:p>
    <w:p w14:paraId="493FB4FF">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The proposed ordinance establishes a strict policy that all aid distribution activities funded or implemented by the city government must be conducted in a depersonalized and non-partisan manner. </w:t>
      </w:r>
      <w:r>
        <w:rPr>
          <w:sz w:val="22"/>
          <w:szCs w:val="22"/>
        </w:rPr>
      </w:r>
      <w:r>
        <w:rPr>
          <w:sz w:val="22"/>
          <w:szCs w:val="22"/>
        </w:rPr>
      </w:r>
    </w:p>
    <w:p w14:paraId="346D643B">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It defines aid distribution as the actual release of financial assistance, relief goods, subsidies, scholarships, medical aid, burial support, livelihood assistance, and other similar benefits to identified beneficiaries.</w:t>
      </w:r>
      <w:r>
        <w:rPr>
          <w:sz w:val="22"/>
          <w:szCs w:val="22"/>
        </w:rPr>
      </w:r>
      <w:r>
        <w:rPr>
          <w:sz w:val="22"/>
          <w:szCs w:val="22"/>
        </w:rPr>
      </w:r>
    </w:p>
    <w:p w14:paraId="647A4D32">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Under the measure, public officials, whether elected or appointed and including barangay officials involved in city-funded programs, are prohibited from being physically present during the actual distribution of assistance. They are also barred from partic</w:t>
      </w:r>
      <w:r>
        <w:rPr>
          <w:rFonts w:ascii="Times New Roman" w:hAnsi="Times New Roman" w:eastAsia="Times New Roman" w:cs="Times New Roman"/>
          <w:color w:val="000000"/>
          <w:sz w:val="22"/>
          <w:szCs w:val="22"/>
        </w:rPr>
        <w:t xml:space="preserve">ipating in the handing out of aid, speaking during distribution events, posing with beneficiaries, or engaging in any activity that may create the impression of personal involvement in the release of government assistance.</w:t>
      </w:r>
      <w:r>
        <w:rPr>
          <w:sz w:val="22"/>
          <w:szCs w:val="22"/>
        </w:rPr>
      </w:r>
      <w:r>
        <w:rPr>
          <w:sz w:val="22"/>
          <w:szCs w:val="22"/>
        </w:rPr>
      </w:r>
    </w:p>
    <w:p w14:paraId="45F6C72B">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The ordinance further prohibits any form of political branding in aid distribution sites or materials. This includes the display of names, images, likenesses, slogans, or personal messages of public officials on venues, packaging, documents, or any materia</w:t>
      </w:r>
      <w:r>
        <w:rPr>
          <w:rFonts w:ascii="Times New Roman" w:hAnsi="Times New Roman" w:eastAsia="Times New Roman" w:cs="Times New Roman"/>
          <w:color w:val="000000"/>
          <w:sz w:val="22"/>
          <w:szCs w:val="22"/>
        </w:rPr>
        <w:t xml:space="preserve">ls visible to beneficiaries. </w:t>
      </w:r>
      <w:r>
        <w:rPr>
          <w:sz w:val="22"/>
          <w:szCs w:val="22"/>
        </w:rPr>
      </w:r>
      <w:r>
        <w:rPr>
          <w:sz w:val="22"/>
          <w:szCs w:val="22"/>
        </w:rPr>
      </w:r>
    </w:p>
    <w:p w14:paraId="414EDCC1">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It also disallows any labeling or messaging that may suggest that the aid originates from a specific individual rather than the city government as an institution. Only official identifiers such as the city seal, program name, implementing office, and neces</w:t>
      </w:r>
      <w:r>
        <w:rPr>
          <w:rFonts w:ascii="Times New Roman" w:hAnsi="Times New Roman" w:eastAsia="Times New Roman" w:cs="Times New Roman"/>
          <w:color w:val="000000"/>
          <w:sz w:val="22"/>
          <w:szCs w:val="22"/>
        </w:rPr>
        <w:t xml:space="preserve">sary transparency information are permitted.</w:t>
      </w:r>
      <w:r>
        <w:rPr>
          <w:sz w:val="22"/>
          <w:szCs w:val="22"/>
        </w:rPr>
      </w:r>
      <w:r>
        <w:rPr>
          <w:sz w:val="22"/>
          <w:szCs w:val="22"/>
        </w:rPr>
      </w:r>
    </w:p>
    <w:p w14:paraId="4350EB8F">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The measure introduces a presumption of political intent whenever prohibited acts are present, subject to evaluation based on surrounding circumstances. Violations committed during election periods are mandated to be immediately referred to the Commission </w:t>
      </w:r>
      <w:r>
        <w:rPr>
          <w:rFonts w:ascii="Times New Roman" w:hAnsi="Times New Roman" w:eastAsia="Times New Roman" w:cs="Times New Roman"/>
          <w:color w:val="000000"/>
          <w:sz w:val="22"/>
          <w:szCs w:val="22"/>
        </w:rPr>
        <w:t xml:space="preserve">on Elections (COMELEC) for appropriate action.</w:t>
      </w:r>
      <w:r>
        <w:rPr>
          <w:sz w:val="22"/>
          <w:szCs w:val="22"/>
        </w:rPr>
      </w:r>
      <w:r>
        <w:rPr>
          <w:sz w:val="22"/>
          <w:szCs w:val="22"/>
        </w:rPr>
      </w:r>
    </w:p>
    <w:p w14:paraId="2216CB40">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The ordinance also outlines limited exceptions such as internal administrative processes, legally required documentation, and privately funded aid activities that do not use government resources or imply association with public programs. It assigns primary</w:t>
      </w:r>
      <w:r>
        <w:rPr>
          <w:rFonts w:ascii="Times New Roman" w:hAnsi="Times New Roman" w:eastAsia="Times New Roman" w:cs="Times New Roman"/>
          <w:color w:val="000000"/>
          <w:sz w:val="22"/>
          <w:szCs w:val="22"/>
        </w:rPr>
        <w:t xml:space="preserve"> responsibility for compliance to heads of implementing offices and imposes accountability on public officials and supervisors who authorize, allow, or fail to prevent violations.</w:t>
      </w:r>
      <w:r>
        <w:rPr>
          <w:sz w:val="22"/>
          <w:szCs w:val="22"/>
        </w:rPr>
      </w:r>
      <w:r>
        <w:rPr>
          <w:sz w:val="22"/>
          <w:szCs w:val="22"/>
        </w:rPr>
      </w:r>
    </w:p>
    <w:p w14:paraId="66E1170F">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Penalties include fines of P5,000.00 per violation, along with administrative sanctions such as reprimand, suspension, or dismissal depending on the gravity of the offense. </w:t>
      </w:r>
      <w:r>
        <w:rPr>
          <w:sz w:val="22"/>
          <w:szCs w:val="22"/>
        </w:rPr>
      </w:r>
      <w:r>
        <w:rPr>
          <w:sz w:val="22"/>
          <w:szCs w:val="22"/>
        </w:rPr>
      </w:r>
    </w:p>
    <w:p w14:paraId="28CFEDD8">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Cases may also be elevated to the Civil Service Commission and the COMELEC when applicable. Enforcement will be carried out by the Public Information Office in coordination with a representative of the Baguio Character Council tasked with monitoring, inspe</w:t>
      </w:r>
      <w:r>
        <w:rPr>
          <w:rFonts w:ascii="Times New Roman" w:hAnsi="Times New Roman" w:eastAsia="Times New Roman" w:cs="Times New Roman"/>
          <w:color w:val="000000"/>
          <w:sz w:val="22"/>
          <w:szCs w:val="22"/>
        </w:rPr>
        <w:t xml:space="preserve">ction, and complaint handling.</w:t>
      </w:r>
      <w:r>
        <w:rPr>
          <w:sz w:val="22"/>
          <w:szCs w:val="22"/>
        </w:rPr>
      </w:r>
      <w:r>
        <w:rPr>
          <w:sz w:val="22"/>
          <w:szCs w:val="22"/>
        </w:rPr>
      </w:r>
    </w:p>
    <w:p w14:paraId="65CB0657">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Finally, the ordinance includes a non-waiver clause, allowing exemptions only in rare cases of urgent public necessity where the presence of an official is absolutely required to facilitate the distribution of aid.</w:t>
      </w:r>
      <w:r>
        <w:rPr>
          <w:sz w:val="22"/>
          <w:szCs w:val="22"/>
        </w:rPr>
      </w:r>
      <w:r>
        <w:rPr>
          <w:sz w:val="22"/>
          <w:szCs w:val="22"/>
        </w:rPr>
      </w:r>
    </w:p>
    <w:p w14:paraId="03B4A09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rPr>
        <w:t xml:space="preserve">The proposed ordinance was approved on first reading by the Baguio Council on April 13, 2026 and subsequently referred to the Committee on Ethics, Governmental Affairs, and Personnel for review. -Jordan G. Habbiling</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2026-05-24T12:58:58Z</dcterms:modified>
</cp:coreProperties>
</file>