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CB8A91">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𝗪𝗔𝗜𝗩𝗜𝗡𝗚 𝗢𝗙 𝗗𝗢𝗖𝗨𝗠𝗘𝗡𝗧 𝗙𝗘𝗘𝗦 𝗙𝗢𝗥 𝗙𝗜𝗥𝗘 𝗔𝗡𝗗 𝗗𝗜𝗦𝗔𝗦𝗧𝗘𝗥 𝗩𝗜𝗖𝗧𝗜𝗠𝗦 𝗦𝗢𝗨𝗚𝗛𝗧</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A65510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D5B79B3">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Councilor Leandro Yangot Jr. has proposed an ordinance seeking to exempt victims of fire and natural calamities from paying fees for the authentication, verification, and issuance of vital civil registry documents such as birth, marriage, and death certifi</w:t>
      </w:r>
      <w:r>
        <w:rPr>
          <w:rFonts w:ascii="Times New Roman" w:hAnsi="Times New Roman" w:eastAsia="Times New Roman" w:cs="Times New Roman"/>
          <w:color w:val="000000"/>
          <w:sz w:val="22"/>
          <w:szCs w:val="22"/>
        </w:rPr>
        <w:t xml:space="preserve">cates to ease their recovery and reduce the administrative burden during post-disaster situations.</w:t>
      </w:r>
      <w:r>
        <w:rPr>
          <w:sz w:val="22"/>
          <w:szCs w:val="22"/>
        </w:rPr>
      </w:r>
      <w:r>
        <w:rPr>
          <w:sz w:val="22"/>
          <w:szCs w:val="22"/>
        </w:rPr>
      </w:r>
    </w:p>
    <w:p w14:paraId="31623C8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measure covers residents of Baguio City who are victims of fire incidents and other natural calamities such as landslides, floods, typhoons, and earthquakes. It seeks to institutionalize a uniform system of assistance by granting full exemptio</w:t>
      </w:r>
      <w:r>
        <w:rPr>
          <w:rFonts w:ascii="Times New Roman" w:hAnsi="Times New Roman" w:eastAsia="Times New Roman" w:cs="Times New Roman"/>
          <w:color w:val="000000"/>
          <w:sz w:val="22"/>
          <w:szCs w:val="22"/>
        </w:rPr>
        <w:t xml:space="preserve">n from local fees associated with the verification, authentication, and issuance of certified true copies of civil registry documents including birth, marriage, and death certificates.</w:t>
      </w:r>
      <w:r>
        <w:rPr>
          <w:sz w:val="22"/>
          <w:szCs w:val="22"/>
        </w:rPr>
      </w:r>
      <w:r>
        <w:rPr>
          <w:sz w:val="22"/>
          <w:szCs w:val="22"/>
        </w:rPr>
      </w:r>
    </w:p>
    <w:p w14:paraId="2544789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the ordinance, qualified beneficiaries include affected individuals or their authorized representatives, immediate family members such as spouses, parents, and descendants, legal guardians in the case of minors, and the nearest kin in instances invol</w:t>
      </w:r>
      <w:r>
        <w:rPr>
          <w:rFonts w:ascii="Times New Roman" w:hAnsi="Times New Roman" w:eastAsia="Times New Roman" w:cs="Times New Roman"/>
          <w:color w:val="000000"/>
          <w:sz w:val="22"/>
          <w:szCs w:val="22"/>
        </w:rPr>
        <w:t xml:space="preserve">ving deceased persons. The exemption may also be extended when necessary for official court or government proceedings requiring proof of identity.</w:t>
      </w:r>
      <w:r>
        <w:rPr>
          <w:sz w:val="22"/>
          <w:szCs w:val="22"/>
        </w:rPr>
      </w:r>
      <w:r>
        <w:rPr>
          <w:sz w:val="22"/>
          <w:szCs w:val="22"/>
        </w:rPr>
      </w:r>
    </w:p>
    <w:p w14:paraId="1BA36C1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Applicants must present supporting documents including an incident certification from the Bureau of Fire Protection or the City Disaster Risk Reduction and Management Office, a certification of displacement or indigency from the City Social Welfare and Dev</w:t>
      </w:r>
      <w:r>
        <w:rPr>
          <w:rFonts w:ascii="Times New Roman" w:hAnsi="Times New Roman" w:eastAsia="Times New Roman" w:cs="Times New Roman"/>
          <w:color w:val="000000"/>
          <w:sz w:val="22"/>
          <w:szCs w:val="22"/>
        </w:rPr>
        <w:t xml:space="preserve">elopment Office (CSWDO), and a barangay certification confirming residency at the time of the incident.</w:t>
      </w:r>
      <w:r>
        <w:rPr>
          <w:sz w:val="22"/>
          <w:szCs w:val="22"/>
        </w:rPr>
      </w:r>
      <w:r>
        <w:rPr>
          <w:sz w:val="22"/>
          <w:szCs w:val="22"/>
        </w:rPr>
      </w:r>
    </w:p>
    <w:p w14:paraId="47DCF1F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exemption is proposed to be valid for one year from the occurrence of the disaster and may be availed of only once per qualified incident. All documents issued under the ordinance shall remain valid without expiration and will be recognized as equivale</w:t>
      </w:r>
      <w:r>
        <w:rPr>
          <w:rFonts w:ascii="Times New Roman" w:hAnsi="Times New Roman" w:eastAsia="Times New Roman" w:cs="Times New Roman"/>
          <w:color w:val="000000"/>
          <w:sz w:val="22"/>
          <w:szCs w:val="22"/>
        </w:rPr>
        <w:t xml:space="preserve">nt to those obtained through standard fee-based processes.</w:t>
      </w:r>
      <w:r>
        <w:rPr>
          <w:sz w:val="22"/>
          <w:szCs w:val="22"/>
        </w:rPr>
      </w:r>
      <w:r>
        <w:rPr>
          <w:sz w:val="22"/>
          <w:szCs w:val="22"/>
        </w:rPr>
      </w:r>
    </w:p>
    <w:p w14:paraId="5076C51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Any violation, misrepresentation, or fraudulent use of the exemption will be penalized with fines ranging from P1,000.00 to P3,000.00 depending on the offense.</w:t>
      </w:r>
      <w:r>
        <w:rPr>
          <w:sz w:val="22"/>
          <w:szCs w:val="22"/>
        </w:rPr>
      </w:r>
      <w:r>
        <w:rPr>
          <w:sz w:val="22"/>
          <w:szCs w:val="22"/>
        </w:rPr>
      </w:r>
    </w:p>
    <w:p w14:paraId="43B8E9A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was approved on first reading by the Baguio Council on April 13, 2026 and subsequently referred to the Committee on Appropriations and Finance Cluster B for review. -Jordan G. Habbiling</w:t>
      </w:r>
      <w:r>
        <w:rPr>
          <w:sz w:val="22"/>
          <w:szCs w:val="22"/>
        </w:rPr>
      </w:r>
      <w:r>
        <w:rPr>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2026-05-24T12:59:23Z</dcterms:modified>
</cp:coreProperties>
</file>