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BC349F0">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Title/Topic: </w:t>
      </w:r>
      <w:r>
        <w:rPr>
          <w:rFonts w:ascii="Times New Roman" w:hAnsi="Times New Roman" w:eastAsia="Times New Roman" w:cs="Times New Roman"/>
          <w:sz w:val="22"/>
          <w:szCs w:val="22"/>
        </w:rPr>
        <w:t xml:space="preserve">𝗧𝗔𝗕𝗔𝗡𝗗𝗔 𝗣𝗨𝗦𝗛𝗘𝗦 𝗕𝗔𝗚𝗨𝗜𝗢 𝗔𝗜-𝗥𝗘𝗔𝗗𝗬 𝗧𝗥𝗔𝗡𝗦𝗙𝗢𝗥𝗠𝗔𝗧𝗜𝗢𝗡 𝗣𝗥𝗢𝗚𝗥𝗔𝗠</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600A3890">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Content:</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68D474C6">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Councilor Betty Lourdes Tabanda has proposed an ordinance that seeks to institutionalize the Baguio AI-Ready Program (BARP) which mandates artificial intelligence capacity building across all sectors and establishing an AI innovation hub to support trainin</w:t>
      </w:r>
      <w:r>
        <w:rPr>
          <w:rFonts w:ascii="Times New Roman" w:hAnsi="Times New Roman" w:eastAsia="Times New Roman" w:cs="Times New Roman"/>
          <w:color w:val="000000"/>
          <w:sz w:val="22"/>
          <w:szCs w:val="22"/>
        </w:rPr>
        <w:t xml:space="preserve">g, innovation, and responsible technology adoption in the city.</w:t>
      </w:r>
      <w:r>
        <w:rPr>
          <w:sz w:val="22"/>
          <w:szCs w:val="22"/>
        </w:rPr>
      </w:r>
      <w:r>
        <w:rPr>
          <w:sz w:val="22"/>
          <w:szCs w:val="22"/>
        </w:rPr>
      </w:r>
    </w:p>
    <w:p w14:paraId="769DC2FC">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The proposed ordinance promotes structured training programs for government workers, students, entrepreneurs, and residents, with the goal of ensuring that the city is prepared to adopt and use AI technologies in a safe, ethical, and productive manner.</w:t>
      </w:r>
      <w:r>
        <w:rPr>
          <w:sz w:val="22"/>
          <w:szCs w:val="22"/>
        </w:rPr>
      </w:r>
      <w:r>
        <w:rPr>
          <w:sz w:val="22"/>
          <w:szCs w:val="22"/>
        </w:rPr>
      </w:r>
    </w:p>
    <w:p w14:paraId="0A244B28">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Coverage of the program includes community-based AI education down to the barangay level, integration of AI learning modules in educational institutions in coordination with the Department of Education (DepEd) Commission on Higher Education (CHED), and Tec</w:t>
      </w:r>
      <w:r>
        <w:rPr>
          <w:rFonts w:ascii="Times New Roman" w:hAnsi="Times New Roman" w:eastAsia="Times New Roman" w:cs="Times New Roman"/>
          <w:color w:val="000000"/>
          <w:sz w:val="22"/>
          <w:szCs w:val="22"/>
        </w:rPr>
        <w:t xml:space="preserve">hnical Education And Skills Development Authority (TESDA), and technical training designed to improve employability and support local industries.</w:t>
      </w:r>
      <w:r>
        <w:rPr>
          <w:sz w:val="22"/>
          <w:szCs w:val="22"/>
        </w:rPr>
      </w:r>
      <w:r>
        <w:rPr>
          <w:sz w:val="22"/>
          <w:szCs w:val="22"/>
        </w:rPr>
      </w:r>
    </w:p>
    <w:p w14:paraId="24CCACB0">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It also includes the modernization of government services through responsible AI use to enhance efficiency, transparency, and service delivery.</w:t>
      </w:r>
      <w:r>
        <w:rPr>
          <w:sz w:val="22"/>
          <w:szCs w:val="22"/>
        </w:rPr>
      </w:r>
      <w:r>
        <w:rPr>
          <w:sz w:val="22"/>
          <w:szCs w:val="22"/>
        </w:rPr>
      </w:r>
    </w:p>
    <w:p w14:paraId="30F4FD3C">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The ordinance creates the BARP Committee chaired by the Local Chief Executive and composed of representatives from government agencies, the academe, the private sector, and other stakeholders. </w:t>
      </w:r>
      <w:r>
        <w:rPr>
          <w:sz w:val="22"/>
          <w:szCs w:val="22"/>
        </w:rPr>
      </w:r>
      <w:r>
        <w:rPr>
          <w:sz w:val="22"/>
          <w:szCs w:val="22"/>
        </w:rPr>
      </w:r>
    </w:p>
    <w:p w14:paraId="70103DC8">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The Committee is tasked with formulating and regularly updating an AI Strategy Roadmap, developing policies for ethical and responsible AI use, establishing partnerships, and monitoring program outcomes to ensure effective implementation.</w:t>
      </w:r>
      <w:r>
        <w:rPr>
          <w:sz w:val="22"/>
          <w:szCs w:val="22"/>
        </w:rPr>
      </w:r>
      <w:r>
        <w:rPr>
          <w:sz w:val="22"/>
          <w:szCs w:val="22"/>
        </w:rPr>
      </w:r>
    </w:p>
    <w:p w14:paraId="44176209">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An essential feature of the ordinance is the creation of the Baguio AI Innovation Hub which will serve as the central facility for training, demonstration, research, and collaboration.</w:t>
      </w:r>
      <w:r>
        <w:rPr>
          <w:sz w:val="22"/>
          <w:szCs w:val="22"/>
        </w:rPr>
      </w:r>
      <w:r>
        <w:rPr>
          <w:sz w:val="22"/>
          <w:szCs w:val="22"/>
        </w:rPr>
      </w:r>
    </w:p>
    <w:p w14:paraId="78AAB999">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The hub will function as a training center for AI literacy, a demonstration space for real-world applications, a co-working and incubation area for innovators and start-ups, and a venue for community engagement activities such as workshops, hackathons, and</w:t>
      </w:r>
      <w:r>
        <w:rPr>
          <w:rFonts w:ascii="Times New Roman" w:hAnsi="Times New Roman" w:eastAsia="Times New Roman" w:cs="Times New Roman"/>
          <w:color w:val="000000"/>
          <w:sz w:val="22"/>
          <w:szCs w:val="22"/>
        </w:rPr>
        <w:t xml:space="preserve"> forums. It will also showcase the city’s AI Strategy Roadmap and promote transparency through public access to progress updates.</w:t>
      </w:r>
      <w:r>
        <w:rPr>
          <w:sz w:val="22"/>
          <w:szCs w:val="22"/>
        </w:rPr>
      </w:r>
      <w:r>
        <w:rPr>
          <w:sz w:val="22"/>
          <w:szCs w:val="22"/>
        </w:rPr>
      </w:r>
    </w:p>
    <w:p w14:paraId="2040CC9B">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The ordinance further mandates the development of an AI Strategy Roadmap within six months of its effectivity, outlining short-, medium-, and long-term goals for AI integration in governance, education, economic development, and cultural preservation.</w:t>
      </w:r>
      <w:r>
        <w:rPr>
          <w:sz w:val="22"/>
          <w:szCs w:val="22"/>
        </w:rPr>
      </w:r>
      <w:r>
        <w:rPr>
          <w:sz w:val="22"/>
          <w:szCs w:val="22"/>
        </w:rPr>
      </w:r>
    </w:p>
    <w:p w14:paraId="5812F710">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Funding support for the program and the AI Innovation Hub shall be sourced from the city budget, partnerships with national agencies and the private sector, grants, and other lawful funding mechanisms to ensure sustainability and continuous innovation.</w:t>
      </w:r>
      <w:r>
        <w:rPr>
          <w:sz w:val="22"/>
          <w:szCs w:val="22"/>
        </w:rPr>
      </w:r>
      <w:r>
        <w:rPr>
          <w:sz w:val="22"/>
          <w:szCs w:val="22"/>
        </w:rPr>
      </w:r>
    </w:p>
    <w:p w14:paraId="00074CF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2"/>
          <w:szCs w:val="22"/>
          <w:highlight w:val="none"/>
        </w:rPr>
      </w:pPr>
      <w:r>
        <w:rPr>
          <w:rFonts w:ascii="Times New Roman" w:hAnsi="Times New Roman" w:eastAsia="Times New Roman" w:cs="Times New Roman"/>
          <w:color w:val="000000"/>
          <w:sz w:val="22"/>
          <w:szCs w:val="22"/>
        </w:rPr>
        <w:t xml:space="preserve">The proposed ordinance was approved on first reading by the Baguio City Council on May 4, 2026 and referred to the Committee on Education for review. -Jordan G. Habbiling</w:t>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2026-05-24T13:00:01Z</dcterms:modified>
</cp:coreProperties>
</file>