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D837543">
      <w:pPr>
        <w:pBdr/>
        <w:shd w:val="nil" w:color="000000"/>
        <w:spacing w:after="0"/>
        <w:ind/>
        <w:jc w:val="both"/>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color w:val="000000"/>
          <w:sz w:val="22"/>
          <w:szCs w:val="22"/>
        </w:rPr>
        <w:t xml:space="preserve">𝗘𝗠𝗘𝗥𝗚𝗘𝗡𝗖𝗬 𝗠𝗘𝗔𝗦𝗨𝗥𝗘𝗦 𝗙𝗢𝗥 𝗙𝗨𝗘𝗟 𝗦𝗨𝗣𝗣𝗟𝗬 𝗖𝗥𝗜𝗦𝗘𝗦 𝗣𝗥𝗢𝗣𝗢𝗦𝗘𝗗</w:t>
      </w:r>
      <w:r>
        <w:rPr>
          <w:rFonts w:ascii="Times New Roman" w:hAnsi="Times New Roman" w:cs="Times New Roman"/>
          <w:sz w:val="22"/>
          <w:szCs w:val="22"/>
        </w:rPr>
      </w:r>
      <w:r>
        <w:rPr>
          <w:rFonts w:ascii="Times New Roman" w:hAnsi="Times New Roman" w:cs="Times New Roman"/>
          <w:sz w:val="22"/>
          <w:szCs w:val="22"/>
        </w:rPr>
      </w:r>
    </w:p>
    <w:p w14:paraId="7F7AF031">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DD3D3DE">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Councilor Edison Bilog has proposed an ordinance that seeks to institutionalize emergency fuel management and energy conservation measures during oil supply disruptions and establish a local task force to ensure the continued delivery of essential services</w:t>
      </w:r>
      <w:r>
        <w:rPr>
          <w:rFonts w:ascii="Times New Roman" w:hAnsi="Times New Roman" w:eastAsia="Times New Roman" w:cs="Times New Roman"/>
          <w:color w:val="000000"/>
          <w:sz w:val="22"/>
          <w:szCs w:val="22"/>
        </w:rPr>
        <w:t xml:space="preserve">.</w:t>
      </w:r>
      <w:r>
        <w:rPr>
          <w:sz w:val="22"/>
          <w:szCs w:val="22"/>
        </w:rPr>
      </w:r>
      <w:r>
        <w:rPr>
          <w:sz w:val="22"/>
          <w:szCs w:val="22"/>
        </w:rPr>
      </w:r>
    </w:p>
    <w:p w14:paraId="77F532AA">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proposed ordinance establishes a comprehensive framework for managing fuel and energy supply disruptions in the city by institutionalizing conservation measures, emergency protocols, and coordinated response mechanisms. It adopts lessons from past glob</w:t>
      </w:r>
      <w:r>
        <w:rPr>
          <w:rFonts w:ascii="Times New Roman" w:hAnsi="Times New Roman" w:eastAsia="Times New Roman" w:cs="Times New Roman"/>
          <w:color w:val="000000"/>
          <w:sz w:val="22"/>
          <w:szCs w:val="22"/>
        </w:rPr>
        <w:t xml:space="preserve">al oil crises and emphasizes preparedness, efficiency, and equitable access to fuel during periods of shortage or abnormal price increases.</w:t>
      </w:r>
      <w:r>
        <w:rPr>
          <w:sz w:val="22"/>
          <w:szCs w:val="22"/>
        </w:rPr>
      </w:r>
      <w:r>
        <w:rPr>
          <w:sz w:val="22"/>
          <w:szCs w:val="22"/>
        </w:rPr>
      </w:r>
    </w:p>
    <w:p w14:paraId="1447C37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Under the ordinance, a Local Energy Crisis Task Force (LECTF) will be created to serve as the lead coordinating body during any declared oil or energy crisis. The task force is composed of representatives from city offices including City Disaster Risk Redu</w:t>
      </w:r>
      <w:r>
        <w:rPr>
          <w:rFonts w:ascii="Times New Roman" w:hAnsi="Times New Roman" w:eastAsia="Times New Roman" w:cs="Times New Roman"/>
          <w:color w:val="000000"/>
          <w:sz w:val="22"/>
          <w:szCs w:val="22"/>
        </w:rPr>
        <w:t xml:space="preserve">ction and Management Office, City Engineering Office, Transportation and Traffic Management Division, City Environment and Parks Management Office, City Social Welfare and Development Office, barangay officials, law enforcement, and private sector stakehol</w:t>
      </w:r>
      <w:r>
        <w:rPr>
          <w:rFonts w:ascii="Times New Roman" w:hAnsi="Times New Roman" w:eastAsia="Times New Roman" w:cs="Times New Roman"/>
          <w:color w:val="000000"/>
          <w:sz w:val="22"/>
          <w:szCs w:val="22"/>
        </w:rPr>
        <w:t xml:space="preserve">ders such as fuel distributors and transport groups. \</w:t>
      </w:r>
      <w:r>
        <w:rPr>
          <w:sz w:val="22"/>
          <w:szCs w:val="22"/>
        </w:rPr>
      </w:r>
      <w:r>
        <w:rPr>
          <w:sz w:val="22"/>
          <w:szCs w:val="22"/>
        </w:rPr>
      </w:r>
    </w:p>
    <w:p w14:paraId="0402C5CF">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LECTF is tasked to implement conservation measures, monitor compliance, submit reports to the Baguio City Council, and recommend emergency policy adjustments to the city government.</w:t>
      </w:r>
      <w:r>
        <w:rPr>
          <w:sz w:val="22"/>
          <w:szCs w:val="22"/>
        </w:rPr>
      </w:r>
      <w:r>
        <w:rPr>
          <w:sz w:val="22"/>
          <w:szCs w:val="22"/>
        </w:rPr>
      </w:r>
    </w:p>
    <w:p w14:paraId="75E340CB">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Upon declaration of an energy crisis, the ordinance provides for the implementation of fuel conservation and transport management measures. These include a fuel rationing system that may involve scheduled distribution or coupon-based allocation, prioritizi</w:t>
      </w:r>
      <w:r>
        <w:rPr>
          <w:rFonts w:ascii="Times New Roman" w:hAnsi="Times New Roman" w:eastAsia="Times New Roman" w:cs="Times New Roman"/>
          <w:color w:val="000000"/>
          <w:sz w:val="22"/>
          <w:szCs w:val="22"/>
        </w:rPr>
        <w:t xml:space="preserve">ng essential services such as hospitals, emergency responders, and public transportation. </w:t>
      </w:r>
      <w:r>
        <w:rPr>
          <w:sz w:val="22"/>
          <w:szCs w:val="22"/>
        </w:rPr>
      </w:r>
      <w:r>
        <w:rPr>
          <w:sz w:val="22"/>
          <w:szCs w:val="22"/>
        </w:rPr>
      </w:r>
    </w:p>
    <w:p w14:paraId="73D52C04">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Traffic and transport regulations may also be enforced, including restrictions on private vehicle use, promotion of carpooling, and optimization of public transport routes to reduce fuel consumption.</w:t>
      </w:r>
      <w:r>
        <w:rPr>
          <w:sz w:val="22"/>
          <w:szCs w:val="22"/>
        </w:rPr>
      </w:r>
      <w:r>
        <w:rPr>
          <w:sz w:val="22"/>
          <w:szCs w:val="22"/>
        </w:rPr>
      </w:r>
    </w:p>
    <w:p w14:paraId="65A66FC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measure also mandates energy conservation efforts across government offices, businesses, and households. These may include reduced electricity usage, efficient fuel utilization practices, and public information campaigns encouraging responsible consump</w:t>
      </w:r>
      <w:r>
        <w:rPr>
          <w:rFonts w:ascii="Times New Roman" w:hAnsi="Times New Roman" w:eastAsia="Times New Roman" w:cs="Times New Roman"/>
          <w:color w:val="000000"/>
          <w:sz w:val="22"/>
          <w:szCs w:val="22"/>
        </w:rPr>
        <w:t xml:space="preserve">tion. </w:t>
      </w:r>
      <w:r>
        <w:rPr>
          <w:sz w:val="22"/>
          <w:szCs w:val="22"/>
        </w:rPr>
      </w:r>
      <w:r>
        <w:rPr>
          <w:sz w:val="22"/>
          <w:szCs w:val="22"/>
        </w:rPr>
      </w:r>
    </w:p>
    <w:p w14:paraId="0A4A6438">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Essential services are to be prioritized to ensure continuity of healthcare, emergency response, and basic public operations even during supply disruptions.</w:t>
      </w:r>
      <w:r>
        <w:rPr>
          <w:sz w:val="22"/>
          <w:szCs w:val="22"/>
        </w:rPr>
      </w:r>
      <w:r>
        <w:rPr>
          <w:sz w:val="22"/>
          <w:szCs w:val="22"/>
        </w:rPr>
      </w:r>
    </w:p>
    <w:p w14:paraId="3C541EA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ordinance imposes penalties for violations such as unauthorized fuel hoarding, diversion, or tampering. Offenders may face fines ranging from P2,000.00 to P5,000.00 and/or imprisonment of up to 30 days, without prejudice to other civil, criminal, or ad</w:t>
      </w:r>
      <w:r>
        <w:rPr>
          <w:rFonts w:ascii="Times New Roman" w:hAnsi="Times New Roman" w:eastAsia="Times New Roman" w:cs="Times New Roman"/>
          <w:color w:val="000000"/>
          <w:sz w:val="22"/>
          <w:szCs w:val="22"/>
        </w:rPr>
        <w:t xml:space="preserve">ministrative liabilities under existing laws.</w:t>
      </w:r>
      <w:r>
        <w:rPr>
          <w:sz w:val="22"/>
          <w:szCs w:val="22"/>
        </w:rPr>
      </w:r>
      <w:r>
        <w:rPr>
          <w:sz w:val="22"/>
          <w:szCs w:val="22"/>
        </w:rPr>
      </w:r>
    </w:p>
    <w:p w14:paraId="48BE03FD">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ordinance assigns the LECTF the responsibility of continuous monitoring and evaluation of all implemented measures, ensuring that the city’s response remains adaptive, coordinated, and effective throughout the duration of any energy crisis.</w:t>
      </w:r>
      <w:r>
        <w:rPr>
          <w:sz w:val="22"/>
          <w:szCs w:val="22"/>
        </w:rPr>
      </w:r>
      <w:r>
        <w:rPr>
          <w:sz w:val="22"/>
          <w:szCs w:val="22"/>
        </w:rPr>
      </w:r>
    </w:p>
    <w:p w14:paraId="075F68E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2"/>
          <w:szCs w:val="22"/>
          <w:highlight w:val="none"/>
        </w:rPr>
      </w:pPr>
      <w:r>
        <w:rPr>
          <w:rFonts w:ascii="Times New Roman" w:hAnsi="Times New Roman" w:eastAsia="Times New Roman" w:cs="Times New Roman"/>
          <w:color w:val="000000"/>
          <w:sz w:val="22"/>
          <w:szCs w:val="22"/>
        </w:rPr>
        <w:t xml:space="preserve">The proposed ordinance was approved on first reading by the Baguio Council on April 13, 2026 and subsequently referred to the Committee on Public Utilities, Transportation, and Traffic Legislation for review. -Jordan G. Habbiling</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
      <w:r>
        <w:rPr>
          <w:rFonts w:ascii="Times New Roman" w:hAnsi="Times New Roman" w:eastAsia="Times New Roman" w:cs="Times New Roman"/>
          <w:sz w:val="22"/>
          <w:szCs w:val="22"/>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2026-05-24T12:57:02Z</dcterms:modified>
</cp:coreProperties>
</file>