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537AF6">
      <w:pPr>
        <w:pBdr/>
        <w:spacing w:after="0"/>
        <w:ind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Title/Topic: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𝗦𝗨𝗣𝗣𝗢𝗥𝗧 𝗦𝗬𝗦𝗧𝗘𝗠 𝗙𝗢𝗥 𝗕𝗔𝗥𝗔𝗡𝗚𝗔𝗬 𝗠𝗜𝗖𝗥𝗢-𝗕𝗨𝗦𝗜𝗡𝗘𝗦𝗦 𝗘𝗡𝗧𝗘𝗥𝗣𝗥𝗜𝗦𝗘𝗦 𝗣𝗨𝗦𝗛𝗘𝗗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B54AA1">
      <w:pPr>
        <w:pBdr/>
        <w:spacing w:after="0"/>
        <w:ind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Content: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452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ouncilor Van Oliver Dicang has proposed an ordinance institutionalizing a city-wide support and empowerment program for barangay micro-business enterprises (BMBEs) to streamline registration through the business one-stop shop, provide incentives and capaci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ty-building assistance, and strengthen inter-agency coordination to help micro-entrepreneurs formalize and grow their businesses.</w:t>
      </w:r>
      <w:r/>
      <w:r/>
    </w:p>
    <w:p w14:paraId="1C516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he proposed ordinance defines BMBEs in accordance with national law as enterprises with total assets not exceeding P3,000,000.00, excluding land, and requires a valid Certificate of Authority issued by the Department of Trade and Industry (DTI) as the basi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s for recognition and eligibility for local incentives under Republic Act No. 9178.</w:t>
      </w:r>
      <w:r/>
      <w:r/>
    </w:p>
    <w:p w14:paraId="40899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he measure establishes a One-Stop BMBE Registration Desk under the city government and integrates all BMBE-related processes into the Business One-Stop Shop system to simplify registration, reduce processing time, and improve access to government services.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 </w:t>
      </w:r>
      <w:r/>
      <w:r/>
    </w:p>
    <w:p w14:paraId="0F53C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Barangays are directed to assist through information dissemination and referral of potential applicants, while the Permits and Licensing Division (PLD) is tasked to issue implementing guidelines.</w:t>
      </w:r>
      <w:r/>
      <w:r/>
    </w:p>
    <w:p w14:paraId="2B6EB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T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he ordinance mandates the city to conduct regular capacity-building programs at least quarterly, covering skills such as bookkeeping, marketing, product development, and financial literacy to enhance the sustainability and competitiveness of micro-enterpri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ses.</w:t>
      </w:r>
      <w:r/>
      <w:r/>
    </w:p>
    <w:p w14:paraId="10D3B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I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t also grants a package of incentives for qualified BMBEs including the waiver of local fees for the first year of operation, reduced fees in the succeeding years, and fast-track processing of business permits within one to three working days. Additional s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upport includes participation in trade fairs and bazaars, promotion through city platforms, access to available market spaces, and linkages to digital payment systems and financial institutions.</w:t>
      </w:r>
      <w:r/>
      <w:r/>
    </w:p>
    <w:p w14:paraId="13EB6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The ordinance further promotes inter-agency collaboration to ensure that livelihood beneficiaries are guided and transitioned into formal BMBEs, while also supporting batch or assisted registration to improve accessibility and efficiency.</w:t>
      </w:r>
      <w:r/>
      <w:r/>
    </w:p>
    <w:p w14:paraId="16BE7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Monitoring and evaluation of the program will be led by the PLD in coordination with the Local Economic Development and Investment Promotions Unit which will submit annual reports on implementation.</w:t>
      </w:r>
      <w:r/>
      <w:r/>
    </w:p>
    <w:p w14:paraId="2989B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L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ikewise, the city will conduct sustained information dissemination campaigns to raise awareness on BMBE registration, benefits, and available government support, with the goal of encouraging more micro-entrepreneurs to formalize and expand their businesses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.</w:t>
      </w:r>
      <w:r/>
      <w:r/>
    </w:p>
    <w:p w14:paraId="6FBB9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  <w:t xml:space="preserve">The proposed ordinance was approved on second reading by the Baguio City Council on April 20, 2026. -Jordan G. Habbiling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2026-05-24T13:04:02Z</dcterms:modified>
</cp:coreProperties>
</file>