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563E91">
      <w:pPr>
        <w:pBdr/>
        <w:shd w:val="nil" w:color="000000"/>
        <w:spacing/>
        <w:ind/>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color w:val="000000"/>
          <w:sz w:val="22"/>
          <w:szCs w:val="22"/>
        </w:rPr>
        <w:t xml:space="preserve">𝗣𝗥𝗢𝗣𝗢𝗦𝗘𝗗 𝗠𝗘𝗔𝗦𝗨𝗥𝗘 𝗥𝗘𝗤𝗨𝗜𝗥𝗘𝗦 𝗖𝗢𝗡𝗧𝗥𝗔𝗖𝗧𝗢𝗥𝗦 𝗧𝗢 𝗛𝗜𝗥𝗘 𝟱𝟬% 𝗢𝗙 𝗟𝗔𝗕𝗢𝗥 𝗙𝗢𝗥𝗖𝗘 𝗙𝗥𝗢𝗠 𝗤𝗨𝗔𝗟𝗜𝗙𝗜𝗘𝗗 𝗥𝗘𝗦𝗜𝗗𝗘𝗡𝗧𝗦 𝗢𝗙 𝗛𝗢𝗦𝗧 𝗕𝗔𝗥𝗔𝗡𝗚𝗔𝗬</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6FD0F8DF">
      <w:pPr>
        <w:pBdr/>
        <w:shd w:val="nil" w:color="000000"/>
        <w:spacing w:after="0"/>
        <w:ind/>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t xml:space="preserve">Content:</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4B2A344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Councilor Leandro Yangot Jr. has proposed an ordinance requiring contractors of development and special projects funded or implemented through the city government to hire at least half of their labor force from qualified residents of the barangay where the</w:t>
      </w:r>
      <w:r>
        <w:rPr>
          <w:rFonts w:ascii="Times New Roman" w:hAnsi="Times New Roman" w:eastAsia="Times New Roman" w:cs="Times New Roman"/>
          <w:color w:val="000000"/>
          <w:sz w:val="22"/>
          <w:szCs w:val="22"/>
        </w:rPr>
        <w:t xml:space="preserve"> project is located.</w:t>
      </w:r>
      <w:r>
        <w:rPr>
          <w:sz w:val="22"/>
          <w:szCs w:val="22"/>
        </w:rPr>
      </w:r>
      <w:r>
        <w:rPr>
          <w:sz w:val="22"/>
          <w:szCs w:val="22"/>
        </w:rPr>
      </w:r>
    </w:p>
    <w:p w14:paraId="083E455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measure applies to all contractors and project implementers of projects funded under the city’s 20% Development Fund, as well as special projects financed by national government line agencies but carried out through the City Government’s bidding and im</w:t>
      </w:r>
      <w:r>
        <w:rPr>
          <w:rFonts w:ascii="Times New Roman" w:hAnsi="Times New Roman" w:eastAsia="Times New Roman" w:cs="Times New Roman"/>
          <w:color w:val="000000"/>
          <w:sz w:val="22"/>
          <w:szCs w:val="22"/>
        </w:rPr>
        <w:t xml:space="preserve">plementation process.</w:t>
      </w:r>
      <w:r>
        <w:rPr>
          <w:sz w:val="22"/>
          <w:szCs w:val="22"/>
        </w:rPr>
      </w:r>
      <w:r>
        <w:rPr>
          <w:sz w:val="22"/>
          <w:szCs w:val="22"/>
        </w:rPr>
      </w:r>
    </w:p>
    <w:p w14:paraId="68ECA05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Under the proposal, contractors are required to hire at least 50% of their total labor force from bona fide, qualified, and willing residents of the host barangay. This covers both skilled workers such as carpenters, electricians, masons, and plumbers, and</w:t>
      </w:r>
      <w:r>
        <w:rPr>
          <w:rFonts w:ascii="Times New Roman" w:hAnsi="Times New Roman" w:eastAsia="Times New Roman" w:cs="Times New Roman"/>
          <w:color w:val="000000"/>
          <w:sz w:val="22"/>
          <w:szCs w:val="22"/>
        </w:rPr>
        <w:t xml:space="preserve"> unskilled laborers needed for construction-related tasks.</w:t>
      </w:r>
      <w:r>
        <w:rPr>
          <w:sz w:val="22"/>
          <w:szCs w:val="22"/>
        </w:rPr>
      </w:r>
      <w:r>
        <w:rPr>
          <w:sz w:val="22"/>
          <w:szCs w:val="22"/>
        </w:rPr>
      </w:r>
    </w:p>
    <w:p w14:paraId="4DE33D5A">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Barangay councils are tasked to prepare, regularly update, and publicly post a list of able-bodied residents who are willing and qualified to work on construction projects. This list will serve as the official reference for contractors in meeting the manda</w:t>
      </w:r>
      <w:r>
        <w:rPr>
          <w:rFonts w:ascii="Times New Roman" w:hAnsi="Times New Roman" w:eastAsia="Times New Roman" w:cs="Times New Roman"/>
          <w:color w:val="000000"/>
          <w:sz w:val="22"/>
          <w:szCs w:val="22"/>
        </w:rPr>
        <w:t xml:space="preserve">tory local hiring requirement.</w:t>
      </w:r>
      <w:r>
        <w:rPr>
          <w:sz w:val="22"/>
          <w:szCs w:val="22"/>
        </w:rPr>
      </w:r>
      <w:r>
        <w:rPr>
          <w:sz w:val="22"/>
          <w:szCs w:val="22"/>
        </w:rPr>
      </w:r>
    </w:p>
    <w:p w14:paraId="7EAF16B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In cases where the required number of local workers cannot be sourced from the barangay due to unavailability or existing employment in other projects, contractors may hire from neighboring barangays within Baguio City. However, such unavailability must be</w:t>
      </w:r>
      <w:r>
        <w:rPr>
          <w:rFonts w:ascii="Times New Roman" w:hAnsi="Times New Roman" w:eastAsia="Times New Roman" w:cs="Times New Roman"/>
          <w:color w:val="000000"/>
          <w:sz w:val="22"/>
          <w:szCs w:val="22"/>
        </w:rPr>
        <w:t xml:space="preserve"> certified by the Punong Barangay and attested by the City Engineer, based on the posted registry prior to project implementation.</w:t>
      </w:r>
      <w:r>
        <w:rPr>
          <w:sz w:val="22"/>
          <w:szCs w:val="22"/>
        </w:rPr>
      </w:r>
      <w:r>
        <w:rPr>
          <w:sz w:val="22"/>
          <w:szCs w:val="22"/>
        </w:rPr>
      </w:r>
    </w:p>
    <w:p w14:paraId="60F0BCA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Monitoring of compliance will be jointly undertaken by the Barangay Council and the City Project Monitoring Council, with violations to be reported to the City Mayor’s Office for appropriate action.</w:t>
      </w:r>
      <w:r>
        <w:rPr>
          <w:sz w:val="22"/>
          <w:szCs w:val="22"/>
        </w:rPr>
      </w:r>
      <w:r>
        <w:rPr>
          <w:sz w:val="22"/>
          <w:szCs w:val="22"/>
        </w:rPr>
      </w:r>
    </w:p>
    <w:p w14:paraId="53D1A49B">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Contractors who fail to comply with the mandatory hiring provision face administrative sanctions including blacklisting from participating in city-funded and city-implemented bidding projects for one year on the first offense, two years on the second offen</w:t>
      </w:r>
      <w:r>
        <w:rPr>
          <w:rFonts w:ascii="Times New Roman" w:hAnsi="Times New Roman" w:eastAsia="Times New Roman" w:cs="Times New Roman"/>
          <w:color w:val="000000"/>
          <w:sz w:val="22"/>
          <w:szCs w:val="22"/>
        </w:rPr>
        <w:t xml:space="preserve">se, and perpetual disqualification for subsequent violations.</w:t>
      </w:r>
      <w:r>
        <w:rPr>
          <w:sz w:val="22"/>
          <w:szCs w:val="22"/>
        </w:rPr>
      </w:r>
      <w:r>
        <w:rPr>
          <w:sz w:val="22"/>
          <w:szCs w:val="22"/>
        </w:rPr>
      </w:r>
    </w:p>
    <w:p w14:paraId="072CD46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ordinance was approved on first reading by the Baguio City Council on April 27, 2026 and referred to the Committee on Employment for review. -Jordan G. Habbiling</w:t>
      </w:r>
      <w:r>
        <w:rPr>
          <w:sz w:val="22"/>
          <w:szCs w:val="22"/>
        </w:rPr>
      </w:r>
      <w:r>
        <w:rPr>
          <w:sz w:val="22"/>
          <w:szCs w:val="22"/>
        </w:rPr>
      </w:r>
      <w:r/>
      <w:r/>
      <w:r>
        <w:rPr>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2026-05-24T12:57:29Z</dcterms:modified>
</cp:coreProperties>
</file>