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7BCFE05">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𝗧𝗔𝗫 𝗜𝗡𝗖𝗘𝗡𝗧𝗜𝗩𝗘𝗦 𝗙𝗢𝗥 𝗕𝗨𝗦𝗜𝗡𝗘𝗦𝗦𝗘𝗦 𝗪𝗜𝗧𝗛 𝗦𝗧𝗣𝘀 𝗘𝗬𝗘𝗗</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D417BDD">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46504E5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ouncilor Edison Bilog has proposed an ordinance granting tax incentives and sewerage fee exemptions to businesses in Baguio City that construct and maintain their own sewage treatment plants (STPs) in a bid to promote environmental protection and reduce pr</w:t>
      </w:r>
      <w:r>
        <w:rPr>
          <w:rFonts w:ascii="Times New Roman" w:hAnsi="Times New Roman" w:eastAsia="Times New Roman" w:cs="Times New Roman"/>
          <w:color w:val="000000"/>
          <w:sz w:val="22"/>
          <w:szCs w:val="22"/>
          <w:highlight w:val="none"/>
        </w:rPr>
        <w:t xml:space="preserve">essure on the city’s sewerage system.</w:t>
      </w:r>
      <w:r/>
      <w:r/>
    </w:p>
    <w:p w14:paraId="1AE6FA0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proposed ordinance applies to all business establishments, commercial buildings, and industries within Baguio City that install and operate their own STPs. Qualified establishments may be granted incentives for a period of three years, subject to renewa</w:t>
      </w:r>
      <w:r>
        <w:rPr>
          <w:rFonts w:ascii="Times New Roman" w:hAnsi="Times New Roman" w:eastAsia="Times New Roman" w:cs="Times New Roman"/>
          <w:color w:val="000000"/>
          <w:sz w:val="22"/>
          <w:szCs w:val="22"/>
          <w:highlight w:val="none"/>
        </w:rPr>
        <w:t xml:space="preserve">l upon continued compliance with environmental standards.</w:t>
      </w:r>
      <w:r/>
      <w:r/>
    </w:p>
    <w:p w14:paraId="681C706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Incentives include full exemption from city-imposed sewerage fees and a partial reduction of local business taxes of up to 50%, depending on compliance and evaluation by the city government.</w:t>
      </w:r>
      <w:r/>
      <w:r/>
    </w:p>
    <w:p w14:paraId="762D9E0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o qualify, establishments must have a functional STP, secure all required permits, comply with Department of Environment and Natural Resources (DENR) standards, and submit regular monitoring reports. They must also allow inspection by authorized city perso</w:t>
      </w:r>
      <w:r>
        <w:rPr>
          <w:rFonts w:ascii="Times New Roman" w:hAnsi="Times New Roman" w:eastAsia="Times New Roman" w:cs="Times New Roman"/>
          <w:color w:val="000000"/>
          <w:sz w:val="22"/>
          <w:szCs w:val="22"/>
          <w:highlight w:val="none"/>
        </w:rPr>
        <w:t xml:space="preserve">nnel to ensure continued compliance.</w:t>
      </w:r>
      <w:r/>
      <w:r/>
    </w:p>
    <w:p w14:paraId="681C7BD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City Environment and Parks Management Office, in coordination with the City Engineering Office and other concerned agencies, is tasked to inspect and validate STP installations, issue certifications of compliance, and recommend the granting or revocatio</w:t>
      </w:r>
      <w:r>
        <w:rPr>
          <w:rFonts w:ascii="Times New Roman" w:hAnsi="Times New Roman" w:eastAsia="Times New Roman" w:cs="Times New Roman"/>
          <w:color w:val="000000"/>
          <w:sz w:val="22"/>
          <w:szCs w:val="22"/>
          <w:highlight w:val="none"/>
        </w:rPr>
        <w:t xml:space="preserve">n of incentives.</w:t>
      </w:r>
      <w:r/>
      <w:r/>
    </w:p>
    <w:p w14:paraId="3E031A1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Incentives may be revoked if the establishment fails to maintain its STP, violates environmental regulations, or submits false information. </w:t>
      </w:r>
      <w:r/>
      <w:r/>
    </w:p>
    <w:p w14:paraId="6D3ED27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ordinance also imposes penalties, including fines, imprisonment, and possible suspension or cancellation of business permits, in cases of fraud or misrepresentation, without prejudice to other legal actions under existing laws.</w:t>
      </w:r>
      <w:r/>
      <w:r/>
    </w:p>
    <w:p w14:paraId="46FC972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proposed ordinance was approved on first reading by the Baguio City Council on March 30, 2026 and subsequently referred to the Committee on Appropriations and Finance Cluster B for review.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2026-05-24T13:06:38Z</dcterms:modified>
</cp:coreProperties>
</file>