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9D14F44">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Title/Topic: </w:t>
      </w:r>
      <w:r>
        <w:rPr>
          <w:rFonts w:ascii="Times New Roman" w:hAnsi="Times New Roman" w:eastAsia="Times New Roman" w:cs="Times New Roman"/>
          <w:sz w:val="22"/>
          <w:szCs w:val="22"/>
        </w:rPr>
        <w:t xml:space="preserve">𝗜𝗡𝗦𝗧𝗜𝗧𝗨𝗧𝗜𝗢𝗡𝗔𝗟𝗜𝗭𝗔𝗧𝗜𝗢𝗡 𝗢𝗙 ‘𝗟𝗜𝗡𝗚𝗚𝗢 𝗡𝗚 𝗞𝗔𝗕𝗔𝗧𝗔𝗔𝗡’ 𝗣𝗥𝗢𝗣𝗢𝗦𝗘𝗗</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261081D2">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Content:</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1BE53768">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S</w:t>
      </w:r>
      <w:r>
        <w:rPr>
          <w:rFonts w:ascii="Times New Roman" w:hAnsi="Times New Roman" w:eastAsia="Times New Roman" w:cs="Times New Roman"/>
          <w:color w:val="000000"/>
          <w:sz w:val="22"/>
          <w:szCs w:val="22"/>
          <w:highlight w:val="none"/>
        </w:rPr>
        <w:t xml:space="preserve">angguniang Kabataan Federation President John Rhey Mananeng has proposed an ordinance formally institutionalizing the annual Linggo ng Kabataan celebration in Baguio City and provide a regular budget to sustain youth leadership activities, civic engagement</w:t>
      </w:r>
      <w:r>
        <w:rPr>
          <w:rFonts w:ascii="Times New Roman" w:hAnsi="Times New Roman" w:eastAsia="Times New Roman" w:cs="Times New Roman"/>
          <w:color w:val="000000"/>
          <w:sz w:val="22"/>
          <w:szCs w:val="22"/>
          <w:highlight w:val="none"/>
        </w:rPr>
        <w:t xml:space="preserve"> programs, and inclusive participation under the guidance of the Sangguniang Kabataan Federation (SKF) of Baguio City and the Local Youth Development Office (LYDO).</w:t>
      </w:r>
      <w:r/>
      <w:r/>
    </w:p>
    <w:p w14:paraId="20B1C73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The ordinance seeks to formally establish Linggo ng Kabataan as an annual, week-long celebration every August, ensuring it is regularly organized, properly funded, and aligned with the city’s youth development programs and Republic Act No. 10742.</w:t>
      </w:r>
      <w:r/>
      <w:r/>
    </w:p>
    <w:p w14:paraId="0225687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It designates the SKF-Baguio, in coordination with the LYDO, as the lead organizers, working with partners such as the Department of Education (DepEd) and the Commission on Higher Education (CHED)</w:t>
      </w:r>
      <w:r/>
      <w:r/>
    </w:p>
    <w:p w14:paraId="0830F15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he celebration will include youth-led activities such as leadership workshops, policy forums, cultural presentations, sports and wellness events, and community service programs that are open to various youth sectors, including out-of-school youth, indigeno</w:t>
      </w:r>
      <w:r>
        <w:rPr>
          <w:rFonts w:ascii="Times New Roman" w:hAnsi="Times New Roman" w:eastAsia="Times New Roman" w:cs="Times New Roman"/>
          <w:color w:val="000000"/>
          <w:sz w:val="22"/>
          <w:szCs w:val="22"/>
          <w:highlight w:val="none"/>
        </w:rPr>
        <w:t xml:space="preserve">us youth, and persons with disabilities.</w:t>
      </w:r>
      <w:r/>
      <w:r/>
    </w:p>
    <w:p w14:paraId="1B14C32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o ensure continuity and lessen reliance on solicitations and sponsorships, the ordinance provides an initial appropriation of P2,000,000.00 from the Youth Development Fund or other available sources, with succeeding allocations to be included in the city’s</w:t>
      </w:r>
      <w:r>
        <w:rPr>
          <w:rFonts w:ascii="Times New Roman" w:hAnsi="Times New Roman" w:eastAsia="Times New Roman" w:cs="Times New Roman"/>
          <w:color w:val="000000"/>
          <w:sz w:val="22"/>
          <w:szCs w:val="22"/>
          <w:highlight w:val="none"/>
        </w:rPr>
        <w:t xml:space="preserve"> annual budget.</w:t>
      </w:r>
      <w:r/>
      <w:r/>
    </w:p>
    <w:p w14:paraId="1FDE4B1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highlight w:val="none"/>
        </w:rPr>
        <w:t xml:space="preserve">The proposed ordinance was approved on second reading and for posting/publication by the Baguio City Council on April 20, 2026. -Jordan G. Habbiling</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2026-05-24T13:06:58Z</dcterms:modified>
</cp:coreProperties>
</file>