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94148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𝗗𝗜𝗖𝗔𝗡𝗚 𝗘𝗬𝗘𝗦 𝗗𝗜𝗚𝗜𝗧𝗔𝗟 𝗥𝗘𝗦𝗜𝗗𝗘𝗡𝗧 𝗜𝗗 𝗦𝗬𝗦𝗧𝗘𝗠 𝗙𝗢𝗥 𝗖𝗜𝗧𝗬, 𝗕𝗔𝗥𝗔𝗡𝗚𝗔𝗬 𝗧𝗥𝗔𝗡𝗦𝗔𝗖𝗧𝗜𝗢𝗡𝗦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1372C238">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F03690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Van Oliver Dicang has proposed an ordinance institutionalizing a unified Digital Resident Identification System through the Baguio in My Pocket Plus application to allow residents to use a single verified ID for all transactions with the city gove</w:t>
      </w:r>
      <w:r>
        <w:rPr>
          <w:rFonts w:ascii="Times New Roman" w:hAnsi="Times New Roman" w:eastAsia="Times New Roman" w:cs="Times New Roman"/>
          <w:color w:val="000000"/>
          <w:sz w:val="22"/>
          <w:szCs w:val="22"/>
          <w:highlight w:val="none"/>
        </w:rPr>
        <w:t xml:space="preserve">rnment and barangays to simplify identity verification, reduce paperwork, and speed up public service.</w:t>
      </w:r>
      <w:r/>
      <w:r/>
    </w:p>
    <w:p w14:paraId="58100CC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proposed measure establishes the Digital Resident Identification System as the official platform for verifying the identity of residents transacting with city and barangay offices through the Baguio in My Pocket Plus application. </w:t>
      </w:r>
      <w:r/>
      <w:r/>
    </w:p>
    <w:p w14:paraId="01C55BE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Once registered and verified, a resident may present the digital ID in place of multiple physical identification cards and repeated documentary requirements when availing government services.</w:t>
      </w:r>
      <w:r/>
      <w:r/>
    </w:p>
    <w:p w14:paraId="5C1FD7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ordinance provides that all city departments, offices, and barangays must recognize and accept the Digital Resident ID as sufficient proof of identity, subject to verification protocols built into the system. This aims to create interoperability among o</w:t>
      </w:r>
      <w:r>
        <w:rPr>
          <w:rFonts w:ascii="Times New Roman" w:hAnsi="Times New Roman" w:eastAsia="Times New Roman" w:cs="Times New Roman"/>
          <w:color w:val="000000"/>
          <w:sz w:val="22"/>
          <w:szCs w:val="22"/>
          <w:highlight w:val="none"/>
        </w:rPr>
        <w:t xml:space="preserve">ffices and eliminate redundant submission of personal documents in every transaction.</w:t>
      </w:r>
      <w:r/>
      <w:r/>
    </w:p>
    <w:p w14:paraId="012DF6B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ensure proper implementation, the city government will designate a lead office to manage the system, oversee registration and verification procedures, maintain the database, and provide technical support to all implementing offices. Frontline personnel i</w:t>
      </w:r>
      <w:r>
        <w:rPr>
          <w:rFonts w:ascii="Times New Roman" w:hAnsi="Times New Roman" w:eastAsia="Times New Roman" w:cs="Times New Roman"/>
          <w:color w:val="000000"/>
          <w:sz w:val="22"/>
          <w:szCs w:val="22"/>
          <w:highlight w:val="none"/>
        </w:rPr>
        <w:t xml:space="preserve">n city and barangay offices will be trained on how to validate and process transactions using the digital platform.</w:t>
      </w:r>
      <w:r/>
      <w:r/>
    </w:p>
    <w:p w14:paraId="711D8B5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measure also sets standards for data protection and privacy, requiring that all collection, storage, and use of personal information comply with Republic Act No. 10173. Only necessary data will be collected, and safeguards shall be in place to prevent u</w:t>
      </w:r>
      <w:r>
        <w:rPr>
          <w:rFonts w:ascii="Times New Roman" w:hAnsi="Times New Roman" w:eastAsia="Times New Roman" w:cs="Times New Roman"/>
          <w:color w:val="000000"/>
          <w:sz w:val="22"/>
          <w:szCs w:val="22"/>
          <w:highlight w:val="none"/>
        </w:rPr>
        <w:t xml:space="preserve">nauthorized access, misuse, or disclosure of personal information.</w:t>
      </w:r>
      <w:r/>
      <w:r/>
    </w:p>
    <w:p w14:paraId="72BD1D0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provides alternative verification methods and assisted registration in barangays and designated city offices to ensure that no resident is denied services due to lack of digital capability.</w:t>
      </w:r>
      <w:r/>
      <w:r/>
    </w:p>
    <w:p w14:paraId="76D40CE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further mandates an information and education campaign to inform residents about the benefits and proper use of the Digital Resident ID, along with clear guidelines for both the public and government employees.</w:t>
      </w:r>
      <w:r/>
      <w:r/>
    </w:p>
    <w:p w14:paraId="3D8FA07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Penalties are also prescribed for fraudulent use of the system including the use of false information, unauthorized access, or misuse of another person’s digital identity, without prejudice to other applicable laws.</w:t>
      </w:r>
      <w:r/>
      <w:r/>
    </w:p>
    <w:p w14:paraId="46E71B1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Ethics, Governmental Affairs, and Personnel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2026-05-24T13:03:32Z</dcterms:modified>
</cp:coreProperties>
</file>