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E57D4DC">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𝗠𝗔𝗡𝗗𝗔𝗧𝗢𝗥𝗬 𝗔𝗡𝗡𝗨𝗔𝗟 𝗝𝗢𝗜𝗡𝗧 𝗦𝗘𝗠𝗜𝗡𝗔𝗥 𝗧𝗢 𝗦𝗧𝗥𝗘𝗡𝗚𝗧𝗛𝗘𝗡 𝗗𝗥𝗨𝗚 𝗖𝗔𝗦𝗘 𝗣𝗥𝗢𝗖𝗘𝗗𝗨𝗥𝗘𝗦 𝗣𝗨𝗦𝗛𝗘𝗗</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0D93C3C0">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0FEBBBB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C</w:t>
      </w:r>
      <w:r>
        <w:rPr>
          <w:rFonts w:ascii="Times New Roman" w:hAnsi="Times New Roman" w:eastAsia="Times New Roman" w:cs="Times New Roman"/>
          <w:color w:val="000000"/>
          <w:sz w:val="22"/>
          <w:szCs w:val="22"/>
          <w:highlight w:val="none"/>
        </w:rPr>
        <w:t xml:space="preserve">ouncilor Edison Bilog has proposed an ordinance institutionalizing a yearly seminar requiring the participation of all 128 punong barangays and local media practitioners in Baguio City to improve illegal drug case handling and to strengthen coordination am</w:t>
      </w:r>
      <w:r>
        <w:rPr>
          <w:rFonts w:ascii="Times New Roman" w:hAnsi="Times New Roman" w:eastAsia="Times New Roman" w:cs="Times New Roman"/>
          <w:color w:val="000000"/>
          <w:sz w:val="22"/>
          <w:szCs w:val="22"/>
          <w:highlight w:val="none"/>
        </w:rPr>
        <w:t xml:space="preserve">ong justice and law enforcement agencies.</w:t>
      </w:r>
      <w:r/>
      <w:r/>
    </w:p>
    <w:p w14:paraId="4C8D719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proposed ordinance mandates an annual joint seminar focusing on proper handling of illegal drug cases, including chain of custody and evidence preservation, arrest and search procedures, inquest and prosecution processes, the roles and limitations of ba</w:t>
      </w:r>
      <w:r>
        <w:rPr>
          <w:rFonts w:ascii="Times New Roman" w:hAnsi="Times New Roman" w:eastAsia="Times New Roman" w:cs="Times New Roman"/>
          <w:color w:val="000000"/>
          <w:sz w:val="22"/>
          <w:szCs w:val="22"/>
          <w:highlight w:val="none"/>
        </w:rPr>
        <w:t xml:space="preserve">rangay officials, and ethical and responsible media reporting.</w:t>
      </w:r>
      <w:r/>
      <w:r/>
    </w:p>
    <w:p w14:paraId="7B80217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P</w:t>
      </w:r>
      <w:r>
        <w:rPr>
          <w:rFonts w:ascii="Times New Roman" w:hAnsi="Times New Roman" w:eastAsia="Times New Roman" w:cs="Times New Roman"/>
          <w:color w:val="000000"/>
          <w:sz w:val="22"/>
          <w:szCs w:val="22"/>
          <w:highlight w:val="none"/>
        </w:rPr>
        <w:t xml:space="preserve">articipation is required for all 128 punong barangays of Baguio City, representatives from barangay councils, local media practitioners, and concerned agencies such as the Department of Justice (DOJ), Philippine National Police (PNP), Philippine Drug Enfor</w:t>
      </w:r>
      <w:r>
        <w:rPr>
          <w:rFonts w:ascii="Times New Roman" w:hAnsi="Times New Roman" w:eastAsia="Times New Roman" w:cs="Times New Roman"/>
          <w:color w:val="000000"/>
          <w:sz w:val="22"/>
          <w:szCs w:val="22"/>
          <w:highlight w:val="none"/>
        </w:rPr>
        <w:t xml:space="preserve">cement Agency (PDEA), and the Public Attorney’s Office, along with other stakeholders.</w:t>
      </w:r>
      <w:r/>
      <w:r/>
    </w:p>
    <w:p w14:paraId="1131D84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seminar will be organized by the city government through the City Legal Office, in coordination with the Public Attorney's Office,DOJ, PNP, PDEA, and the City Public Information Office.</w:t>
      </w:r>
      <w:r/>
      <w:r/>
    </w:p>
    <w:p w14:paraId="1F2D76E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An annual appropriation of P300,000.00 is allocated from the city’s General Fund to cover training materials, venue and logistics, honoraria for resource speakers, and documentation and media engagement.</w:t>
      </w:r>
      <w:r/>
      <w:r/>
    </w:p>
    <w:p w14:paraId="3137CD7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seminar will be conducted at least once a year, with additional sessions as needed. The City Legal Office is tasked to submit an annual report to the Baguio City Council detailing attendance, outcomes, and its impact on case handling and inter-agency co</w:t>
      </w:r>
      <w:r>
        <w:rPr>
          <w:rFonts w:ascii="Times New Roman" w:hAnsi="Times New Roman" w:eastAsia="Times New Roman" w:cs="Times New Roman"/>
          <w:color w:val="000000"/>
          <w:sz w:val="22"/>
          <w:szCs w:val="22"/>
          <w:highlight w:val="none"/>
        </w:rPr>
        <w:t xml:space="preserve">ordination.</w:t>
      </w:r>
      <w:r/>
      <w:r/>
    </w:p>
    <w:p w14:paraId="04022E5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The proposed ordinance was approved on second reading by the Baguio City Council on April 20, 2026. -Jordan G. Habbiling</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2026-05-24T13:06:16Z</dcterms:modified>
</cp:coreProperties>
</file>