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2B223C">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𝗖𝗢𝗨𝗡𝗖𝗜𝗟𝗢𝗥𝗦 𝗘𝗬𝗘 𝗕𝗔𝗡 𝗢𝗡 𝗚𝗔𝗠𝗕𝗟𝗜𝗡𝗚 𝗦𝗣𝗢𝗡𝗦𝗢𝗥𝗦 𝗜𝗡 𝗖𝗜𝗧𝗬 𝗙𝗘𝗦𝗧𝗜𝗩𝗔𝗟𝗦, 𝗣𝗨𝗕𝗟𝗜𝗖 𝗘𝗩𝗘𝗡𝗧𝗦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90E178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5BD0F9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ouncilors Van Oliver Dicang and Yuri Weygan and Sangguniang Kabataan Federation President John Rhey Mananeng have proposed an ordinance prohibiting gambling-related companies from sponsoring, promoting, or taking part in city-sanctioned activities and fest</w:t>
      </w:r>
      <w:r>
        <w:rPr>
          <w:rFonts w:ascii="Times New Roman" w:hAnsi="Times New Roman" w:eastAsia="Times New Roman" w:cs="Times New Roman"/>
          <w:color w:val="000000"/>
          <w:sz w:val="22"/>
          <w:szCs w:val="22"/>
          <w:highlight w:val="none"/>
        </w:rPr>
        <w:t xml:space="preserve">ivals in Baguio City to keep public celebrations aligned with family-friendly values and shield children and other vulnerable groups from exposure to gambling promotions.</w:t>
      </w:r>
      <w:r/>
      <w:r/>
    </w:p>
    <w:p w14:paraId="639FA9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measure, a “gambling entity” covers any individual or organization engaged in games of chance, betting, wagering, or similar activities, whether land-based or online, including casinos, online betting platforms, e-games, and lotteries, except thos</w:t>
      </w:r>
      <w:r>
        <w:rPr>
          <w:rFonts w:ascii="Times New Roman" w:hAnsi="Times New Roman" w:eastAsia="Times New Roman" w:cs="Times New Roman"/>
          <w:color w:val="000000"/>
          <w:sz w:val="22"/>
          <w:szCs w:val="22"/>
          <w:highlight w:val="none"/>
        </w:rPr>
        <w:t xml:space="preserve">e operated by the government for public welfare. </w:t>
      </w:r>
      <w:r/>
      <w:r/>
    </w:p>
    <w:p w14:paraId="12A652C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lists prohibited acts including allowing gambling entities to sponsor or co-sponsor events, display logos or promotional materials, set up booths or stalls, enter into partnership agreements related to public events, or participate indirectly </w:t>
      </w:r>
      <w:r>
        <w:rPr>
          <w:rFonts w:ascii="Times New Roman" w:hAnsi="Times New Roman" w:eastAsia="Times New Roman" w:cs="Times New Roman"/>
          <w:color w:val="000000"/>
          <w:sz w:val="22"/>
          <w:szCs w:val="22"/>
          <w:highlight w:val="none"/>
        </w:rPr>
        <w:t xml:space="preserve">through third-party representatives acting on their behalf.</w:t>
      </w:r>
      <w:r/>
      <w:r/>
    </w:p>
    <w:p w14:paraId="433D126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Event organizers and the Baguio City Tourism Office, along with the City Mayor’s Office and other organizing bodies, are tasked to enforce the prohibition in all city-sanctioned activities. </w:t>
      </w:r>
      <w:r/>
      <w:r/>
    </w:p>
    <w:p w14:paraId="71F0404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Legal Office is directed to review sponsorship contracts for compliance, while the City Social Welfare and Development Office (CSWDO) will provide guidance on the social impact of proposed partners. The Permits and Licensing Division may deny or re</w:t>
      </w:r>
      <w:r>
        <w:rPr>
          <w:rFonts w:ascii="Times New Roman" w:hAnsi="Times New Roman" w:eastAsia="Times New Roman" w:cs="Times New Roman"/>
          <w:color w:val="000000"/>
          <w:sz w:val="22"/>
          <w:szCs w:val="22"/>
          <w:highlight w:val="none"/>
        </w:rPr>
        <w:t xml:space="preserve">voke permits of events found violating the ordinance.</w:t>
      </w:r>
      <w:r/>
      <w:r/>
    </w:p>
    <w:p w14:paraId="04D6E56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w:t>
      </w:r>
      <w:r>
        <w:rPr>
          <w:rFonts w:ascii="Times New Roman" w:hAnsi="Times New Roman" w:eastAsia="Times New Roman" w:cs="Times New Roman"/>
          <w:color w:val="000000"/>
          <w:sz w:val="22"/>
          <w:szCs w:val="22"/>
          <w:highlight w:val="none"/>
        </w:rPr>
        <w:t xml:space="preserve">rganizers who allow gambling entities in their events will be penalized. A first offense means a written warning and cancellation of the event permit. A second offense carries a P2,000.00 to P5,000.00 fine, cancellation of the event, and a one-year ban fro</w:t>
      </w:r>
      <w:r>
        <w:rPr>
          <w:rFonts w:ascii="Times New Roman" w:hAnsi="Times New Roman" w:eastAsia="Times New Roman" w:cs="Times New Roman"/>
          <w:color w:val="000000"/>
          <w:sz w:val="22"/>
          <w:szCs w:val="22"/>
          <w:highlight w:val="none"/>
        </w:rPr>
        <w:t xml:space="preserve">m organizing events in Baguio City. A third and succeeding offense results in a P5,000.00 fine, cancellation of the event, and a permanent ban. The city may also publicly name the organizers and the gambling entities involved.</w:t>
      </w:r>
      <w:r/>
      <w:r/>
    </w:p>
    <w:p w14:paraId="3E8962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Laws and Governance for review. -Jordan G. Habbiling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2026-05-24T13:07:47Z</dcterms:modified>
</cp:coreProperties>
</file>