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4CBB3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Title/Topic: </w:t>
      </w:r>
      <w:r>
        <w:rPr>
          <w:rFonts w:ascii="Times New Roman" w:hAnsi="Times New Roman" w:eastAsia="Times New Roman" w:cs="Times New Roman"/>
          <w:color w:val="000000"/>
          <w:sz w:val="22"/>
          <w:szCs w:val="22"/>
        </w:rPr>
        <w:t xml:space="preserve">𝗗𝗜𝗚𝗜𝗧𝗔𝗟 𝗩𝗘𝗥𝗦𝗜𝗢𝗡𝗦 𝗢𝗙 𝗖𝗜𝗧𝗬-𝗜𝗦𝗦𝗨𝗘𝗗 𝗜𝗗𝘀 𝗧𝗛𝗥𝗢𝗨𝗚𝗛 𝗕𝗜𝗠𝗣 𝗔𝗣𝗣 𝗘𝗬𝗘𝗗</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375666F0">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sz w:val="22"/>
          <w:szCs w:val="22"/>
          <w:highlight w:val="none"/>
        </w:rPr>
        <w:t xml:space="preserve">Content:</w:t>
        <w:br/>
      </w:r>
      <w:r>
        <w:rPr>
          <w:rFonts w:ascii="Times New Roman" w:hAnsi="Times New Roman" w:eastAsia="Times New Roman" w:cs="Times New Roman"/>
          <w:color w:val="000000"/>
          <w:sz w:val="22"/>
          <w:szCs w:val="22"/>
        </w:rPr>
        <w:t xml:space="preserve">Councilor Van Oliver Dicang has proposed an ordinance integrating locally issued identification cards into the Baguio In My Pocket (BIMP) application and requiring their recognition by city government offices, schools, and business establishments as valid </w:t>
      </w:r>
      <w:r>
        <w:rPr>
          <w:rFonts w:ascii="Times New Roman" w:hAnsi="Times New Roman" w:eastAsia="Times New Roman" w:cs="Times New Roman"/>
          <w:color w:val="000000"/>
          <w:sz w:val="22"/>
          <w:szCs w:val="22"/>
        </w:rPr>
        <w:t xml:space="preserve">proof of identity, even in the absence of physical IDs.</w:t>
      </w:r>
      <w:r>
        <w:rPr>
          <w:sz w:val="22"/>
          <w:szCs w:val="22"/>
        </w:rPr>
      </w:r>
      <w:r>
        <w:rPr>
          <w:sz w:val="22"/>
          <w:szCs w:val="22"/>
        </w:rPr>
      </w:r>
    </w:p>
    <w:p w14:paraId="3BEDA6E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measure declares the city’s policy to promote a digitally empowered and responsive community by using the BIMP platform to improve public service delivery, emergency response, and citizen access to services through secure digital identification.</w:t>
      </w:r>
      <w:r>
        <w:rPr>
          <w:sz w:val="22"/>
          <w:szCs w:val="22"/>
        </w:rPr>
      </w:r>
      <w:r>
        <w:rPr>
          <w:sz w:val="22"/>
          <w:szCs w:val="22"/>
        </w:rPr>
      </w:r>
    </w:p>
    <w:p w14:paraId="762FDEF5">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It covers identification cards issued locally within Baguio City and integrated into the app including Senior Citizen IDs from the Office of the Senior Citizens Affairs (OSCA), Persons with Disability IDs from the Persons with Disability Affairs Office (PD</w:t>
      </w:r>
      <w:r>
        <w:rPr>
          <w:rFonts w:ascii="Times New Roman" w:hAnsi="Times New Roman" w:eastAsia="Times New Roman" w:cs="Times New Roman"/>
          <w:color w:val="000000"/>
          <w:sz w:val="22"/>
          <w:szCs w:val="22"/>
        </w:rPr>
        <w:t xml:space="preserve">AO), Solo Parent IDs from the City Social Welfare and Development Office (CSWDO), and student IDs from accredited schools, colleges, and universities. National government IDs such as the PhilSys ID, passport, and driver’s license are excluded from mandator</w:t>
      </w:r>
      <w:r>
        <w:rPr>
          <w:rFonts w:ascii="Times New Roman" w:hAnsi="Times New Roman" w:eastAsia="Times New Roman" w:cs="Times New Roman"/>
          <w:color w:val="000000"/>
          <w:sz w:val="22"/>
          <w:szCs w:val="22"/>
        </w:rPr>
        <w:t xml:space="preserve">y integration, without prejudice to possible future interoperability.</w:t>
      </w:r>
      <w:r>
        <w:rPr>
          <w:sz w:val="22"/>
          <w:szCs w:val="22"/>
        </w:rPr>
      </w:r>
      <w:r>
        <w:rPr>
          <w:sz w:val="22"/>
          <w:szCs w:val="22"/>
        </w:rPr>
      </w:r>
    </w:p>
    <w:p w14:paraId="5637D93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Under the proposal, all city government offices, departments, and institutions are required to recognize Digital IDs presented through the app as valid proof of identity, subject to verification protocols. Accredited business establishments and educational</w:t>
      </w:r>
      <w:r>
        <w:rPr>
          <w:rFonts w:ascii="Times New Roman" w:hAnsi="Times New Roman" w:eastAsia="Times New Roman" w:cs="Times New Roman"/>
          <w:color w:val="000000"/>
          <w:sz w:val="22"/>
          <w:szCs w:val="22"/>
        </w:rPr>
        <w:t xml:space="preserve"> institutions must likewise honor these Digital IDs for identity verification, access to services, and the availment of statutory discounts and privileges.</w:t>
      </w:r>
      <w:r>
        <w:rPr>
          <w:sz w:val="22"/>
          <w:szCs w:val="22"/>
        </w:rPr>
      </w:r>
      <w:r>
        <w:rPr>
          <w:sz w:val="22"/>
          <w:szCs w:val="22"/>
        </w:rPr>
      </w:r>
    </w:p>
    <w:p w14:paraId="161A8D6C">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Digital IDs stored in the app shall be accepted in lieu of physical IDs during transactions within the city. This applies even when the holder does not have the physical card on hand, provided the Digital ID has been properly authenticated in the system an</w:t>
      </w:r>
      <w:r>
        <w:rPr>
          <w:rFonts w:ascii="Times New Roman" w:hAnsi="Times New Roman" w:eastAsia="Times New Roman" w:cs="Times New Roman"/>
          <w:color w:val="000000"/>
          <w:sz w:val="22"/>
          <w:szCs w:val="22"/>
        </w:rPr>
        <w:t xml:space="preserve">d remains valid including student IDs for the current school year.</w:t>
      </w:r>
      <w:r>
        <w:rPr>
          <w:sz w:val="22"/>
          <w:szCs w:val="22"/>
        </w:rPr>
      </w:r>
      <w:r>
        <w:rPr>
          <w:sz w:val="22"/>
          <w:szCs w:val="22"/>
        </w:rPr>
      </w:r>
    </w:p>
    <w:p w14:paraId="0BA72A9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city’s Management Information and Technology Division is tasked to develop and maintain the integration of Digital IDs into the app using secure authentication measures such as QR-based and cryptographic verification, along with user registration and v</w:t>
      </w:r>
      <w:r>
        <w:rPr>
          <w:rFonts w:ascii="Times New Roman" w:hAnsi="Times New Roman" w:eastAsia="Times New Roman" w:cs="Times New Roman"/>
          <w:color w:val="000000"/>
          <w:sz w:val="22"/>
          <w:szCs w:val="22"/>
        </w:rPr>
        <w:t xml:space="preserve">alidation protocols. The system will also include offline verification methods using encrypted data or time-bound credentials for situations without internet connectivity.</w:t>
      </w:r>
      <w:r>
        <w:rPr>
          <w:sz w:val="22"/>
          <w:szCs w:val="22"/>
        </w:rPr>
      </w:r>
      <w:r>
        <w:rPr>
          <w:sz w:val="22"/>
          <w:szCs w:val="22"/>
        </w:rPr>
      </w:r>
    </w:p>
    <w:p w14:paraId="729189D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An information and education campaign will be conducted to guide residents, offices, schools, and establishments in adopting and complying with the system including the provision of technical assistance where needed.</w:t>
      </w:r>
      <w:r>
        <w:rPr>
          <w:sz w:val="22"/>
          <w:szCs w:val="22"/>
        </w:rPr>
      </w:r>
      <w:r>
        <w:rPr>
          <w:sz w:val="22"/>
          <w:szCs w:val="22"/>
        </w:rPr>
      </w:r>
    </w:p>
    <w:p w14:paraId="5026E352">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Refusal by any covered office, institution, or establishment to honor a valid Digital ID without justifiable reason will constitute a violation. Penalties range from a written warning and a P2,000.00 fine for the first offense, to fines of at least P5,000.</w:t>
      </w:r>
      <w:r>
        <w:rPr>
          <w:rFonts w:ascii="Times New Roman" w:hAnsi="Times New Roman" w:eastAsia="Times New Roman" w:cs="Times New Roman"/>
          <w:color w:val="000000"/>
          <w:sz w:val="22"/>
          <w:szCs w:val="22"/>
        </w:rPr>
        <w:t xml:space="preserve">00 and possible suspension or termination of business permits for repeated violations, subject to due process.</w:t>
      </w:r>
      <w:r>
        <w:rPr>
          <w:sz w:val="22"/>
          <w:szCs w:val="22"/>
        </w:rPr>
      </w:r>
      <w:r>
        <w:rPr>
          <w:sz w:val="22"/>
          <w:szCs w:val="22"/>
        </w:rPr>
      </w:r>
    </w:p>
    <w:p>
      <w:pPr>
        <w:pBdr/>
        <w:spacing/>
        <w:ind/>
        <w:rPr/>
      </w:pPr>
      <w:r>
        <w:rPr>
          <w:rFonts w:ascii="Times New Roman" w:hAnsi="Times New Roman" w:eastAsia="Times New Roman" w:cs="Times New Roman"/>
          <w:color w:val="000000"/>
          <w:sz w:val="22"/>
          <w:szCs w:val="22"/>
        </w:rPr>
        <w:t xml:space="preserve">The proposed ordinance was approved on first reading by the Baguio City Council on April 27, 2026 and referred to the Committee on Ethics, Governmental Affairs, Personnel for review. -Jordan G. Habbiling</w:t>
      </w:r>
      <w:r/>
      <w:r>
        <w:rPr>
          <w:sz w:val="22"/>
          <w:szCs w:val="22"/>
        </w:r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2026-05-24T12:58:27Z</dcterms:modified>
</cp:coreProperties>
</file>