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rPr>
        <w:t xml:space="preserve">Documentation Plan</w:t>
      </w:r>
    </w:p>
    <w:p>
      <w:pPr>
        <w:spacing w:after="120"/>
      </w:pPr>
      <w:r>
        <w:rPr>
          <w:rFonts w:ascii="Calibri" w:cs="Calibri" w:eastAsia="Calibri" w:hAnsi="Calibri"/>
        </w:rPr>
        <w:t xml:space="preserve">Oct 9, 2026 · @John</w:t>
      </w:r>
    </w:p>
    <w:p>
      <w:pPr>
        <w:pStyle w:val="Heading1"/>
        <w:spacing w:after="160" w:before="360"/>
      </w:pPr>
      <w:r>
        <w:rPr>
          <w:rFonts w:ascii="Calibri" w:cs="Calibri" w:eastAsia="Calibri" w:hAnsi="Calibri"/>
        </w:rPr>
        <w:t xml:space="preserve">Purpose</w:t>
      </w:r>
    </w:p>
    <w:p>
      <w:pPr>
        <w:spacing w:after="120"/>
      </w:pPr>
      <w:r>
        <w:rPr>
          <w:rFonts w:ascii="Calibri" w:cs="Calibri" w:eastAsia="Calibri" w:hAnsi="Calibri"/>
        </w:rPr>
        <w:t xml:space="preserve">These documents are what someone builds the platform and the five projects from. Once they exist, the build plan is only the schedule. Every value in them is either a recorded decision with its reason or a confirmed fact; nothing is guessed. Anything that can only be learned by running something is listed as an open question until a spike answers it.</w:t>
      </w:r>
    </w:p>
    <w:p>
      <w:pPr>
        <w:spacing w:after="120"/>
      </w:pPr>
      <w:r>
        <w:rPr>
          <w:rFonts w:ascii="Calibri" w:cs="Calibri" w:eastAsia="Calibri" w:hAnsi="Calibri"/>
        </w:rPr>
        <w:t xml:space="preserve">The platform gets one set of documents, written first. Each project gets its own set, which links to the platform's documents instead of repeating them. Projects are documented in build order: Project 1, Project 3, Project 5, Project 2, Project 4.</w:t>
      </w:r>
    </w:p>
    <w:p>
      <w:pPr>
        <w:pStyle w:val="Heading1"/>
        <w:spacing w:after="160" w:before="360"/>
      </w:pPr>
      <w:r>
        <w:rPr>
          <w:rFonts w:ascii="Calibri" w:cs="Calibri" w:eastAsia="Calibri" w:hAnsi="Calibri"/>
        </w:rPr>
        <w:t xml:space="preserve">Written before any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rPr>
          <w:cantSplit/>
          <w:tblHeader/>
        </w:trPr>
        <w:tc>
          <w:tcPr>
            <w:tcW w:type="dxa" w:w="20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Document</w:t>
            </w:r>
          </w:p>
        </w:tc>
        <w:tc>
          <w:tcPr>
            <w:tcW w:type="dxa" w:w="49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What it holds</w:t>
            </w:r>
          </w:p>
        </w:tc>
        <w:tc>
          <w:tcPr>
            <w:tcW w:type="dxa" w:w="24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Standard it follows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Requirements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Who the project is for and what they need; features by phase (A, B, C); functional requirements (what it must do); quality requirements (speed, freshness, cost limits, privacy, availability), each with how it is verified; acceptance criteria for every feature (the build plan's "Done when" checks)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Requirements and quality-scenario practice (arc42 sections 1 and 10)</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Design doc</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17-section template below: architecture, components, data model, API, runtime and deployment views, cross-cutting concerns, testing strategy, alternatives, risks, open questions, glossary. Section 5 summarizes the requirements and links to the Requirements document.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Google design doc, arc42, C4 model</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Architecture decision records (ADRs)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One short record per significant decision: title, status, context, decision, alternatives considered, consequences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ADR practice (Nygard format)</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Interface specs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data contract for every source and every published table (schema, types, rules, freshness, owner, version), and the API spec for every endpoint (paths, requests, responses, errors, limits)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Open Data Contract Standard (ODCS); OpenAPI 3</w:t>
            </w:r>
          </w:p>
        </w:tc>
      </w:tr>
    </w:tbl>
    <w:p>
      <w:pPr>
        <w:pStyle w:val="Heading1"/>
        <w:spacing w:after="160" w:before="360"/>
      </w:pPr>
      <w:r>
        <w:rPr>
          <w:rFonts w:ascii="Calibri" w:cs="Calibri" w:eastAsia="Calibri" w:hAnsi="Calibri"/>
        </w:rPr>
        <w:t xml:space="preserve">Design doc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4960"/>
      </w:tblGrid>
      <w:tr>
        <w:trPr>
          <w:cantSplit/>
          <w:tblHeader/>
        </w:trPr>
        <w:tc>
          <w:tcPr>
            <w:tcW w:type="dxa" w:w="5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w:t>
            </w:r>
          </w:p>
        </w:tc>
        <w:tc>
          <w:tcPr>
            <w:tcW w:type="dxa" w:w="3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Section</w:t>
            </w:r>
          </w:p>
        </w:tc>
        <w:tc>
          <w:tcPr>
            <w:tcW w:type="dxa" w:w="49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What goes in it</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Status, owner, reviewers, last updated</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Header block</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Summary</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What it is and the outcome, in one paragraph</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Context, scope and constraints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Background facts, system boundary, budget, licenses, privacy rules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Goals and non-goals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What it will do and what it deliberately will not</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Requirements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Summary of functional and quality requirements, linking to the Requirements document</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Architecture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C4 diagrams: system context, containers, components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Component breakdown</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component's job, inputs, outputs, and main functions and classes by name. The four trickiest parts also get every function and class listed with purpose, inputs and output: terrain horizon (1A.2), satellite windows (1A.3), vessel identity matching (3B.3, 3B.4) and transcript time alignment (5A.4).</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8</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Runtime view</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Key flows step by step with failure handling, for example the nightly run, a hiker's offline report, an API request</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9</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Data model</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table, referencing its data contract</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API</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endpoint, referencing the OpenAPI spec</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Deployment view</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What runs where, dev and live environments, schedules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Cross-cutting concerns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Security, privacy, observability, cost limits, reliability</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Testing strategy</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Unit tests, data tests, evals, first-run checks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Alternatives considered</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Each option weighed, linking to its ADR</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Risks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Known risks and how each is handled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Open questions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Questions that need a spike, each with a GitHub issue; removed once answered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Glossary</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Domain and technical terms</w:t>
            </w:r>
          </w:p>
        </w:tc>
      </w:tr>
    </w:tbl>
    <w:p>
      <w:pPr>
        <w:spacing w:after="80"/>
      </w:pPr>
    </w:p>
    <w:p>
      <w:pPr>
        <w:spacing w:after="120"/>
      </w:pPr>
      <w:r>
        <w:rPr>
          <w:rFonts w:ascii="Calibri" w:cs="Calibri" w:eastAsia="Calibri" w:hAnsi="Calibri"/>
          <w:b/>
          <w:bCs/>
        </w:rPr>
        <w:t xml:space="preserve">Example of section 7's function-level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1800"/>
        <w:gridCol w:w="1560"/>
      </w:tblGrid>
      <w:tr>
        <w:trPr>
          <w:cantSplit/>
          <w:tblHeader/>
        </w:trPr>
        <w:tc>
          <w:tcPr>
            <w:tcW w:type="dxa" w:w="33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Function or class</w:t>
            </w:r>
          </w:p>
        </w:tc>
        <w:tc>
          <w:tcPr>
            <w:tcW w:type="dxa" w:w="27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Purpose</w:t>
            </w:r>
          </w:p>
        </w:tc>
        <w:tc>
          <w:tcPr>
            <w:tcW w:type="dxa" w:w="18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Takes</w:t>
            </w:r>
          </w:p>
        </w:tc>
        <w:tc>
          <w:tcPr>
            <w:tcW w:type="dxa" w:w="15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Returns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compute_horizon(point, elevation_tiles)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How high terrain rises in each compass direction around a trail point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trail point, elevation tiles</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36 horizon angles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find_windows(positions, horizon, min_elev)</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When a satellite clears both the minimum elevation and the terrain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Satellite positions, a horizon profile, the minimum elevation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Windows as start and end times</w:t>
            </w:r>
          </w:p>
        </w:tc>
      </w:tr>
    </w:tbl>
    <w:p>
      <w:pPr>
        <w:pStyle w:val="Heading1"/>
        <w:spacing w:after="160" w:before="360"/>
      </w:pPr>
      <w:r>
        <w:rPr>
          <w:rFonts w:ascii="Calibri" w:cs="Calibri" w:eastAsia="Calibri" w:hAnsi="Calibri"/>
        </w:rPr>
        <w:t xml:space="preserve">Written and kept current while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Document</w:t>
            </w:r>
          </w:p>
        </w:tc>
        <w:tc>
          <w:tcPr>
            <w:tcW w:type="dxa" w:w="69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What it holds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README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What it is, the live link, short setup (accounts and keys needed, then the commands that run the automation) and how to run the tests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Reference, generated from code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Function descriptions written in the code (docstrings) published with pdoc or Sphinx, the dbt docs site, the API docs page and Terraform docs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Operations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Freshness targets, monitoring, runbooks for real failures, blameless postmortems for real incidents, cost per run and limits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Model card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For projects with AI: intended use and uses it is not meant for, evals against the version without AI, known failure cases, safety and privacy</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Security and privacy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Threat model, personal-data inventory with deletion periods, and the data licenses and attribution register</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Changelog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What changed in each phase</w:t>
            </w:r>
          </w:p>
        </w:tc>
      </w:tr>
    </w:tbl>
    <w:p>
      <w:pPr>
        <w:pStyle w:val="Heading1"/>
        <w:spacing w:after="160" w:before="360"/>
      </w:pPr>
      <w:r>
        <w:rPr>
          <w:rFonts w:ascii="Calibri" w:cs="Calibri" w:eastAsia="Calibri" w:hAnsi="Calibri"/>
        </w:rPr>
        <w:t xml:space="preserve">Which documents each part 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1100"/>
        <w:gridCol w:w="1100"/>
        <w:gridCol w:w="1100"/>
        <w:gridCol w:w="1100"/>
        <w:gridCol w:w="1100"/>
        <w:gridCol w:w="1100"/>
      </w:tblGrid>
      <w:tr>
        <w:trPr>
          <w:cantSplit/>
          <w:tblHeader/>
        </w:trPr>
        <w:tc>
          <w:tcPr>
            <w:tcW w:type="dxa" w:w="26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Document</w:t>
            </w:r>
          </w:p>
        </w:tc>
        <w:tc>
          <w:tcPr>
            <w:tcW w:type="dxa" w:w="11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Platform</w:t>
            </w:r>
          </w:p>
        </w:tc>
        <w:tc>
          <w:tcPr>
            <w:tcW w:type="dxa" w:w="11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Project 1</w:t>
            </w:r>
          </w:p>
        </w:tc>
        <w:tc>
          <w:tcPr>
            <w:tcW w:type="dxa" w:w="11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Project 3</w:t>
            </w:r>
          </w:p>
        </w:tc>
        <w:tc>
          <w:tcPr>
            <w:tcW w:type="dxa" w:w="11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Project 5</w:t>
            </w:r>
          </w:p>
        </w:tc>
        <w:tc>
          <w:tcPr>
            <w:tcW w:type="dxa" w:w="11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Project 2</w:t>
            </w:r>
          </w:p>
        </w:tc>
        <w:tc>
          <w:tcPr>
            <w:tcW w:type="dxa" w:w="11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Project 4</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Requirements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Design doc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Data contracts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Shared tables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API spec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Serving template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 (public API)</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README and changelog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Reference from code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Operations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Model card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On-call agent (second round)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(no model)</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Security and privacy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Yes</w:t>
            </w:r>
          </w:p>
        </w:tc>
      </w:tr>
    </w:tbl>
    <w:p>
      <w:pPr>
        <w:pStyle w:val="Heading1"/>
        <w:spacing w:after="160" w:before="360"/>
      </w:pPr>
      <w:r>
        <w:rPr>
          <w:rFonts w:ascii="Calibri" w:cs="Calibri" w:eastAsia="Calibri" w:hAnsi="Calibri"/>
        </w:rPr>
        <w:t xml:space="preserve">Open questions</w:t>
      </w:r>
    </w:p>
    <w:p>
      <w:pPr>
        <w:spacing w:after="120"/>
      </w:pPr>
      <w:r>
        <w:rPr>
          <w:rFonts w:ascii="Calibri" w:cs="Calibri" w:eastAsia="Calibri" w:hAnsi="Calibri"/>
        </w:rPr>
        <w:t xml:space="preserve">Each design doc keeps an Open questions section for things only a spike can answer, and each question has a matching GitHub issue. A question is removed from the doc once answered, and its answer goes into the right section. Open questions do not block coding of the parts they do not affect.</w:t>
      </w:r>
    </w:p>
    <w:p>
      <w:pPr>
        <w:pStyle w:val="Heading1"/>
        <w:spacing w:after="160" w:before="360"/>
      </w:pPr>
      <w:r>
        <w:rPr>
          <w:rFonts w:ascii="Calibri" w:cs="Calibri" w:eastAsia="Calibri" w:hAnsi="Calibri"/>
        </w:rPr>
        <w:t xml:space="preserve">Answered by research</w:t>
      </w:r>
    </w:p>
    <w:p>
      <w:pPr>
        <w:spacing w:after="120"/>
      </w:pPr>
      <w:r>
        <w:rPr>
          <w:rFonts w:ascii="Calibri" w:cs="Calibri" w:eastAsia="Calibri" w:hAnsi="Calibri"/>
        </w:rPr>
        <w:t xml:space="preserve">These spike questions were answered from documentation on Oct 9, 2026 and go straight into the design docs as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Question</w:t>
            </w:r>
          </w:p>
        </w:tc>
        <w:tc>
          <w:tcPr>
            <w:tcW w:type="dxa" w:w="71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Answer</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 the images run on ARM servers?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Airflow, Spark, the Spark operator, Kafka, Superset, PostgreSQL and Grafana publish ARM images. Marquez (lineage) and its web page publish only x86 images; John chose to build ARM images of one pinned Marquez version once in GitHub Actions, rebuilt only when an upgrade is chosen.</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FCC coverage file format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Downloaded per provider, state and technology, as a Shapefile or GeoPackage; most datasets include H3 resolution 9 hexagons alongside the raw modeled coverage (</w:t>
            </w:r>
            <w:hyperlink w:history="1" r:id="rIdsrknocdny1ct28fvrpgic">
              <w:r>
                <w:rPr>
                  <w:rStyle w:val="Hyperlink"/>
                  <w:rFonts w:ascii="Calibri" w:cs="Calibri" w:eastAsia="Calibri" w:hAnsi="Calibri"/>
                  <w:sz w:val="19"/>
                  <w:szCs w:val="19"/>
                </w:rPr>
                <w:t xml:space="preserve">FCC help</w:t>
              </w:r>
            </w:hyperlink>
            <w:r>
              <w:rPr>
                <w:rFonts w:ascii="Calibri" w:cs="Calibri" w:eastAsia="Calibri" w:hAnsi="Calibri"/>
                <w:b w:val="false"/>
                <w:bCs w:val="false"/>
                <w:sz w:val="19"/>
                <w:szCs w:val="19"/>
              </w:rPr>
              <w:t xml:space="preserv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Park trail data format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NPS Public Trails ArcGIS service: polylines, GeoJSON output supported, 2,000 records per request, trail name in TRLNAME, park in UNITCODE (</w:t>
            </w:r>
            <w:hyperlink w:history="1" r:id="rIdyq7by2jgr0kojt5ejqh2w">
              <w:r>
                <w:rPr>
                  <w:rStyle w:val="Hyperlink"/>
                  <w:rFonts w:ascii="Calibri" w:cs="Calibri" w:eastAsia="Calibri" w:hAnsi="Calibri"/>
                  <w:sz w:val="19"/>
                  <w:szCs w:val="19"/>
                </w:rPr>
                <w:t xml:space="preserve">NPS service</w:t>
              </w:r>
            </w:hyperlink>
            <w:r>
              <w:rPr>
                <w:rFonts w:ascii="Calibri" w:cs="Calibri" w:eastAsia="Calibri" w:hAnsi="Calibri"/>
                <w:b w:val="false"/>
                <w:bCs w:val="false"/>
                <w:sz w:val="19"/>
                <w:szCs w:val="19"/>
              </w:rPr>
              <w:t xml:space="preserv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Elevation data format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Copernicus GLO-30: 30 m, heights on the EGM2008 datum, a surface model that includes vegetation and buildings, water flattened (</w:t>
            </w:r>
            <w:hyperlink w:history="1" r:id="rIdeqwwy_wconxnjfaobdnna">
              <w:r>
                <w:rPr>
                  <w:rStyle w:val="Hyperlink"/>
                  <w:rFonts w:ascii="Calibri" w:cs="Calibri" w:eastAsia="Calibri" w:hAnsi="Calibri"/>
                  <w:sz w:val="19"/>
                  <w:szCs w:val="19"/>
                </w:rPr>
                <w:t xml:space="preserve">dataset</w:t>
              </w:r>
            </w:hyperlink>
            <w:r>
              <w:rPr>
                <w:rFonts w:ascii="Calibri" w:cs="Calibri" w:eastAsia="Calibri" w:hAnsi="Calibri"/>
                <w:b w:val="false"/>
                <w:bCs w:val="false"/>
                <w:sz w:val="19"/>
                <w:szCs w:val="19"/>
              </w:rPr>
              <w:t xml:space="preserve">; </w:t>
            </w:r>
            <w:hyperlink w:history="1" r:id="rIdt82k6oewljiagw6ahoixv">
              <w:r>
                <w:rPr>
                  <w:rStyle w:val="Hyperlink"/>
                  <w:rFonts w:ascii="Calibri" w:cs="Calibri" w:eastAsia="Calibri" w:hAnsi="Calibri"/>
                  <w:sz w:val="19"/>
                  <w:szCs w:val="19"/>
                </w:rPr>
                <w:t xml:space="preserve">AWS</w:t>
              </w:r>
            </w:hyperlink>
            <w:r>
              <w:rPr>
                <w:rFonts w:ascii="Calibri" w:cs="Calibri" w:eastAsia="Calibri" w:hAnsi="Calibri"/>
                <w:b w:val="false"/>
                <w:bCs w:val="false"/>
                <w:sz w:val="19"/>
                <w:szCs w:val="19"/>
              </w:rPr>
              <w:t xml:space="preserv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Which GEBCO codes mean measured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Codes 10 to 17 are direct measurements; 40 to 46 interpolated or predicted; 70 to 72 unknown; 0 land (</w:t>
            </w:r>
            <w:hyperlink w:history="1" r:id="rIdy_wna6a9lx4df4q2wx0j_">
              <w:r>
                <w:rPr>
                  <w:rStyle w:val="Hyperlink"/>
                  <w:rFonts w:ascii="Calibri" w:cs="Calibri" w:eastAsia="Calibri" w:hAnsi="Calibri"/>
                  <w:sz w:val="19"/>
                  <w:szCs w:val="19"/>
                </w:rPr>
                <w:t xml:space="preserve">GEBCO</w:t>
              </w:r>
            </w:hyperlink>
            <w:r>
              <w:rPr>
                <w:rFonts w:ascii="Calibri" w:cs="Calibri" w:eastAsia="Calibri" w:hAnsi="Calibri"/>
                <w:b w:val="false"/>
                <w:bCs w:val="false"/>
                <w:sz w:val="19"/>
                <w:szCs w:val="19"/>
              </w:rPr>
              <w:t xml:space="preserv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Global Fishing Watch fields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4Wings report endpoint returns CSV or JSON with date, lat, lon and hours or detections; SAR filterable to matched or unmatched; one report at a time per user; reports over 100 seconds are recovered through last-report (</w:t>
            </w:r>
            <w:hyperlink w:history="1" r:id="rIdeuinsnvcrfobwiyjeqx5o">
              <w:r>
                <w:rPr>
                  <w:rStyle w:val="Hyperlink"/>
                  <w:rFonts w:ascii="Calibri" w:cs="Calibri" w:eastAsia="Calibri" w:hAnsi="Calibri"/>
                  <w:sz w:val="19"/>
                  <w:szCs w:val="19"/>
                </w:rPr>
                <w:t xml:space="preserve">GFW</w:t>
              </w:r>
            </w:hyperlink>
            <w:r>
              <w:rPr>
                <w:rFonts w:ascii="Calibri" w:cs="Calibri" w:eastAsia="Calibri" w:hAnsi="Calibri"/>
                <w:b w:val="false"/>
                <w:bCs w:val="false"/>
                <w:sz w:val="19"/>
                <w:szCs w:val="19"/>
              </w:rPr>
              <w:t xml:space="preserv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AISStream message format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Subscribe with an API key, bounding boxes and optional MMSI and message-type filters; each message has MessageType, MetaData (MMSI, ship name, position) and the typed Message; 25 message types (</w:t>
            </w:r>
            <w:hyperlink w:history="1" r:id="rIdxd5heanmzgdnchrvlixf6">
              <w:r>
                <w:rPr>
                  <w:rStyle w:val="Hyperlink"/>
                  <w:rFonts w:ascii="Calibri" w:cs="Calibri" w:eastAsia="Calibri" w:hAnsi="Calibri"/>
                  <w:sz w:val="19"/>
                  <w:szCs w:val="19"/>
                </w:rPr>
                <w:t xml:space="preserve">AISStream</w:t>
              </w:r>
            </w:hyperlink>
            <w:r>
              <w:rPr>
                <w:rFonts w:ascii="Calibri" w:cs="Calibri" w:eastAsia="Calibri" w:hAnsi="Calibri"/>
                <w:b w:val="false"/>
                <w:bCs w:val="false"/>
                <w:sz w:val="19"/>
                <w:szCs w:val="19"/>
              </w:rPr>
              <w:t xml:space="preserv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Cloud cover data</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GFS on AWS (noaa-gfs-bdp-pds, us-east-1), four runs a day; total cloud cover for the entire atmosphere in percent, hourly to 120 hours, about 28 km cells; NOAA asks for attribution (</w:t>
            </w:r>
            <w:hyperlink w:history="1" r:id="rIdmmsebapiswfx7afyoxlvu">
              <w:r>
                <w:rPr>
                  <w:rStyle w:val="Hyperlink"/>
                  <w:rFonts w:ascii="Calibri" w:cs="Calibri" w:eastAsia="Calibri" w:hAnsi="Calibri"/>
                  <w:sz w:val="19"/>
                  <w:szCs w:val="19"/>
                </w:rPr>
                <w:t xml:space="preserve">AWS</w:t>
              </w:r>
            </w:hyperlink>
            <w:r>
              <w:rPr>
                <w:rFonts w:ascii="Calibri" w:cs="Calibri" w:eastAsia="Calibri" w:hAnsi="Calibri"/>
                <w:b w:val="false"/>
                <w:bCs w:val="false"/>
                <w:sz w:val="19"/>
                <w:szCs w:val="19"/>
              </w:rPr>
              <w:t xml:space="preserve">; </w:t>
            </w:r>
            <w:hyperlink w:history="1" r:id="rIdeps7opyz7ybjx4qoei7xf">
              <w:r>
                <w:rPr>
                  <w:rStyle w:val="Hyperlink"/>
                  <w:rFonts w:ascii="Calibri" w:cs="Calibri" w:eastAsia="Calibri" w:hAnsi="Calibri"/>
                  <w:sz w:val="19"/>
                  <w:szCs w:val="19"/>
                </w:rPr>
                <w:t xml:space="preserve">variables</w:t>
              </w:r>
            </w:hyperlink>
            <w:r>
              <w:rPr>
                <w:rFonts w:ascii="Calibri" w:cs="Calibri" w:eastAsia="Calibri" w:hAnsi="Calibri"/>
                <w:b w:val="false"/>
                <w:bCs w:val="false"/>
                <w:sz w:val="19"/>
                <w:szCs w:val="19"/>
              </w:rPr>
              <w:t xml:space="preserv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Moon calculation accuracy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Skyfield uses JPL ephemerides and agrees with the U.S. Naval Observatory to within 0.00001 arcseconds (</w:t>
            </w:r>
            <w:hyperlink w:history="1" r:id="rIdoe5zpthvguqz6d-cruos6">
              <w:r>
                <w:rPr>
                  <w:rStyle w:val="Hyperlink"/>
                  <w:rFonts w:ascii="Calibri" w:cs="Calibri" w:eastAsia="Calibri" w:hAnsi="Calibri"/>
                  <w:sz w:val="19"/>
                  <w:szCs w:val="19"/>
                </w:rPr>
                <w:t xml:space="preserve">Skyfield</w:t>
              </w:r>
            </w:hyperlink>
            <w:r>
              <w:rPr>
                <w:rFonts w:ascii="Calibri" w:cs="Calibri" w:eastAsia="Calibri" w:hAnsi="Calibri"/>
                <w:b w:val="false"/>
                <w:bCs w:val="false"/>
                <w:sz w:val="19"/>
                <w:szCs w:val="19"/>
              </w:rPr>
              <w:t xml:space="preserve">).</w:t>
            </w:r>
          </w:p>
        </w:tc>
      </w:tr>
    </w:tbl>
    <w:p>
      <w:pPr>
        <w:pStyle w:val="Heading1"/>
        <w:spacing w:after="160" w:before="360"/>
      </w:pPr>
      <w:r>
        <w:rPr>
          <w:rFonts w:ascii="Calibri" w:cs="Calibri" w:eastAsia="Calibri" w:hAnsi="Calibri"/>
        </w:rPr>
        <w:t xml:space="preserve">Questions still open</w:t>
      </w:r>
    </w:p>
    <w:p>
      <w:pPr>
        <w:spacing w:after="120"/>
      </w:pPr>
      <w:r>
        <w:rPr>
          <w:rFonts w:ascii="Calibri" w:cs="Calibri" w:eastAsia="Calibri" w:hAnsi="Calibri"/>
        </w:rPr>
        <w:t xml:space="preserve">These need an account, a running server or the actual files, so they stay as open questions until their spike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3450"/>
        <w:gridCol w:w="4760"/>
      </w:tblGrid>
      <w:tr>
        <w:trPr>
          <w:cantSplit/>
          <w:tblHeader/>
        </w:trPr>
        <w:tc>
          <w:tcPr>
            <w:tcW w:type="dxa" w:w="115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Part</w:t>
            </w:r>
          </w:p>
        </w:tc>
        <w:tc>
          <w:tcPr>
            <w:tcW w:type="dxa" w:w="345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Question</w:t>
            </w:r>
          </w:p>
        </w:tc>
        <w:tc>
          <w:tcPr>
            <w:tcW w:type="dxa" w:w="47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What answering it needs</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Platform</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Does the ARM build of the pinned Marquez version succeed?</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Running the build in GitHub Actions (Project 1 Phase B)</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Platform</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Does the full stack fit in 32 GB of memory?</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stack running on the session box</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1</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How many rows and how long does a satellite-window run for the park take?</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test run on the session box</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1</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Are there enough Ookla speed tests along Grand Canyon trails?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Downloading Ookla's open data</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1</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Does an upload to Databricks Free Edition work?</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John's Databricks account</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1</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Does Snowflake connect to the Glue catalog and refresh?</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John's Snowflake trial, run just before Phase B</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3</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What is AISStream's message rate for the region?</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John's AISStream key and a live connection</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4</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What latitudes does the VIIRS annual file cover?</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file, downloaded with a free Earth Observation Group account</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5</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Which time zone do the tape times use, and can track 1's time code be decoded?</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audio files analyzed</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5</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Is OGG accurate enough compared with FLAC, and how fast is the download?</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audio files</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5</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How fast is Whisper on the T4, and does Parakeet run on it?</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GPU server</w:t>
            </w:r>
          </w:p>
        </w:tc>
      </w:tr>
    </w:tbl>
    <w:p>
      <w:pPr>
        <w:pStyle w:val="Heading1"/>
        <w:spacing w:after="160" w:before="360"/>
      </w:pPr>
      <w:r>
        <w:rPr>
          <w:rFonts w:ascii="Calibri" w:cs="Calibri" w:eastAsia="Calibri" w:hAnsi="Calibri"/>
        </w:rPr>
        <w:t xml:space="preserve">How the documents get drafted</w:t>
      </w:r>
    </w:p>
    <w:p>
      <w:pPr>
        <w:pStyle w:val="ListParagraph"/>
        <w:numPr>
          <w:ilvl w:val="0"/>
          <w:numId w:val="2"/>
        </w:numPr>
        <w:spacing w:after="80"/>
      </w:pPr>
      <w:r>
        <w:rPr>
          <w:rFonts w:ascii="Calibri" w:cs="Calibri" w:eastAsia="Calibri" w:hAnsi="Calibri"/>
        </w:rPr>
        <w:t xml:space="preserve">Platform documents first, then each project's documents before that project's coding starts.</w:t>
      </w:r>
    </w:p>
    <w:p>
      <w:pPr>
        <w:pStyle w:val="ListParagraph"/>
        <w:numPr>
          <w:ilvl w:val="0"/>
          <w:numId w:val="2"/>
        </w:numPr>
        <w:spacing w:after="80"/>
      </w:pPr>
      <w:r>
        <w:rPr>
          <w:rFonts w:ascii="Calibri" w:cs="Calibri" w:eastAsia="Calibri" w:hAnsi="Calibri"/>
        </w:rPr>
        <w:t xml:space="preserve">Drafted with Claude from the build plan and the Build Plan Decisions document, one project at a time.</w:t>
      </w:r>
    </w:p>
    <w:p>
      <w:pPr>
        <w:pStyle w:val="ListParagraph"/>
        <w:numPr>
          <w:ilvl w:val="0"/>
          <w:numId w:val="2"/>
        </w:numPr>
        <w:spacing w:after="80"/>
      </w:pPr>
      <w:r>
        <w:rPr>
          <w:rFonts w:ascii="Calibri" w:cs="Calibri" w:eastAsia="Calibri" w:hAnsi="Calibri"/>
        </w:rPr>
        <w:t xml:space="preserve">Every value is a decision (with its ADR) or a confirmed fact; anything else goes under Open questions with a GitHub issue.</w:t>
      </w:r>
    </w:p>
    <w:p>
      <w:pPr>
        <w:pStyle w:val="ListParagraph"/>
        <w:numPr>
          <w:ilvl w:val="0"/>
          <w:numId w:val="2"/>
        </w:numPr>
        <w:spacing w:after="80"/>
      </w:pPr>
      <w:r>
        <w:rPr>
          <w:rFonts w:ascii="Calibri" w:cs="Calibri" w:eastAsia="Calibri" w:hAnsi="Calibri"/>
        </w:rPr>
        <w:t xml:space="preserve">John reviews and approves each document before coding of that part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sz w:val="40"/>
      <w:szCs w:val="4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6"/>
      <w:szCs w:val="26"/>
    </w:rPr>
  </w:style>
  <w:style w:type="paragraph" w:styleId="Heading3">
    <w:name w:val="Heading 3"/>
    <w:basedOn w:val="Normal"/>
    <w:next w:val="Normal"/>
    <w:qFormat/>
    <w:pPr>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rknocdny1ct28fvrpgic" Type="http://schemas.openxmlformats.org/officeDocument/2006/relationships/hyperlink" Target="https://help.bdc.fcc.gov/hc/en-us/articles/43909220634651-How-to-Download-Mobile-Broadband-Coverage-Data-from-the-FCC-s-National-Broadband-Map-Step-by-Step-Instructions" TargetMode="External"/><Relationship Id="rIdyq7by2jgr0kojt5ejqh2w" Type="http://schemas.openxmlformats.org/officeDocument/2006/relationships/hyperlink" Target="https://mapservices.nps.gov/arcgis/rest/services/NationalDatasets/NPS_Public_Trails/MapServer/layers" TargetMode="External"/><Relationship Id="rIdeqwwy_wconxnjfaobdnna" Type="http://schemas.openxmlformats.org/officeDocument/2006/relationships/hyperlink" Target="https://developers.google.com/earth-engine/datasets/catalog/COPERNICUS_DEM_GLO30_2024_1" TargetMode="External"/><Relationship Id="rIdt82k6oewljiagw6ahoixv" Type="http://schemas.openxmlformats.org/officeDocument/2006/relationships/hyperlink" Target="https://registry.opendata.aws/copernicus-dem/" TargetMode="External"/><Relationship Id="rIdy_wna6a9lx4df4q2wx0j_" Type="http://schemas.openxmlformats.org/officeDocument/2006/relationships/hyperlink" Target="https://gebco.net/about_us/contributing_data/tid_grid.html" TargetMode="External"/><Relationship Id="rIdeuinsnvcrfobwiyjeqx5o" Type="http://schemas.openxmlformats.org/officeDocument/2006/relationships/hyperlink" Target="https://globalfishingwatch.org/our-apis/documentation/docs/v3/4wings/report.md" TargetMode="External"/><Relationship Id="rIdxd5heanmzgdnchrvlixf6" Type="http://schemas.openxmlformats.org/officeDocument/2006/relationships/hyperlink" Target="https://aisstream.io/documentation" TargetMode="External"/><Relationship Id="rIdmmsebapiswfx7afyoxlvu" Type="http://schemas.openxmlformats.org/officeDocument/2006/relationships/hyperlink" Target="https://registry.opendata.aws/noaa-gfs-bdp-pds" TargetMode="External"/><Relationship Id="rIdeps7opyz7ybjx4qoei7xf" Type="http://schemas.openxmlformats.org/officeDocument/2006/relationships/hyperlink" Target="https://developers.google.com/earth-engine/datasets/catalog/NOAA_GFS0P25" TargetMode="External"/><Relationship Id="rIdoe5zpthvguqz6d-cruos6" Type="http://schemas.openxmlformats.org/officeDocument/2006/relationships/hyperlink" Target="https://rhodesmill.org/skyfield/"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Plan</dc:title>
  <dc:creator>John Wasikye</dc:creator>
  <cp:lastModifiedBy>Un-named</cp:lastModifiedBy>
  <cp:revision>1</cp:revision>
  <dcterms:created xsi:type="dcterms:W3CDTF">2026-10-09T05:32:32.860Z</dcterms:created>
  <dcterms:modified xsi:type="dcterms:W3CDTF">2026-10-09T05:32:32.861Z</dcterms:modified>
</cp:coreProperties>
</file>

<file path=docProps/custom.xml><?xml version="1.0" encoding="utf-8"?>
<Properties xmlns="http://schemas.openxmlformats.org/officeDocument/2006/custom-properties" xmlns:vt="http://schemas.openxmlformats.org/officeDocument/2006/docPropsVTypes"/>
</file>