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7FE59">
      <w:pPr>
        <w:spacing w:before="2800"/>
        <w:jc w:val="center"/>
      </w:pPr>
      <w:r>
        <w:rPr>
          <w:rFonts w:ascii="微软雅黑" w:hAnsi="微软雅黑" w:eastAsia="微软雅黑"/>
          <w:b/>
          <w:color w:val="2E74B5"/>
          <w:sz w:val="56"/>
        </w:rPr>
        <w:t>FNTL-MS100</w:t>
      </w:r>
      <w:bookmarkStart w:id="0" w:name="_GoBack"/>
      <w:bookmarkEnd w:id="0"/>
      <w:r>
        <w:rPr>
          <w:rFonts w:ascii="微软雅黑" w:hAnsi="微软雅黑" w:eastAsia="微软雅黑"/>
          <w:b/>
          <w:color w:val="2E74B5"/>
          <w:sz w:val="56"/>
        </w:rPr>
        <w:br w:type="textWrapping"/>
      </w:r>
      <w:r>
        <w:rPr>
          <w:rFonts w:ascii="微软雅黑" w:hAnsi="微软雅黑" w:eastAsia="微软雅黑"/>
          <w:b/>
          <w:color w:val="2E74B5"/>
          <w:sz w:val="56"/>
        </w:rPr>
        <w:t>贝通云网管系统</w:t>
      </w:r>
    </w:p>
    <w:p w14:paraId="395BC173">
      <w:pPr>
        <w:jc w:val="center"/>
        <w:rPr>
          <w:rFonts w:hint="default" w:eastAsia="微软雅黑"/>
          <w:lang w:val="en-US" w:eastAsia="zh-CN"/>
        </w:rPr>
      </w:pPr>
      <w:r>
        <w:rPr>
          <w:rFonts w:hint="eastAsia" w:ascii="微软雅黑" w:hAnsi="微软雅黑" w:eastAsia="微软雅黑"/>
          <w:b/>
          <w:color w:val="152033"/>
          <w:sz w:val="72"/>
          <w:szCs w:val="48"/>
          <w:lang w:val="en-US" w:eastAsia="zh-CN"/>
        </w:rPr>
        <w:t>用户手册</w:t>
      </w:r>
    </w:p>
    <w:p w14:paraId="12F1D2DB">
      <w:pPr>
        <w:spacing w:before="480"/>
        <w:jc w:val="center"/>
      </w:pPr>
      <w:r>
        <w:rPr>
          <w:rFonts w:ascii="微软雅黑" w:hAnsi="微软雅黑" w:eastAsia="微软雅黑"/>
        </w:rPr>
        <w:t>适用对象：操作员、系统管理员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>文档版本：V1.</w:t>
      </w:r>
      <w:r>
        <w:rPr>
          <w:rFonts w:hint="eastAsia" w:ascii="微软雅黑" w:hAnsi="微软雅黑" w:eastAsia="微软雅黑"/>
          <w:lang w:val="en-US" w:eastAsia="zh-CN"/>
        </w:rPr>
        <w:t>3.0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>发布日期：2026-05-26</w:t>
      </w:r>
    </w:p>
    <w:tbl>
      <w:tblPr>
        <w:tblStyle w:val="32"/>
        <w:tblW w:w="9288" w:type="dxa"/>
        <w:tblInd w:w="120" w:type="dxa"/>
        <w:tblBorders>
          <w:top w:val="single" w:color="F0C36A" w:sz="4" w:space="0"/>
          <w:left w:val="single" w:color="F0C36A" w:sz="4" w:space="0"/>
          <w:bottom w:val="single" w:color="F0C36A" w:sz="4" w:space="0"/>
          <w:right w:val="single" w:color="F0C36A" w:sz="4" w:space="0"/>
          <w:insideH w:val="single" w:color="F0C36A" w:sz="4" w:space="0"/>
          <w:insideV w:val="single" w:color="F0C36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04C9EB1">
        <w:tc>
          <w:tcPr>
            <w:tcW w:w="9288" w:type="dxa"/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1BB90">
            <w:pPr>
              <w:spacing w:after="0"/>
            </w:pPr>
            <w:r>
              <w:rPr>
                <w:rFonts w:ascii="Calibri" w:hAnsi="Calibri" w:eastAsia="微软雅黑"/>
                <w:b/>
                <w:color w:val="7A4B00"/>
                <w:sz w:val="20"/>
              </w:rPr>
              <w:t>文档说明：</w:t>
            </w:r>
            <w:r>
              <w:rPr>
                <w:rFonts w:ascii="Calibri" w:hAnsi="Calibri" w:eastAsia="微软雅黑"/>
                <w:color w:val="7A4B00"/>
                <w:sz w:val="20"/>
              </w:rPr>
              <w:t>本文档用于客户日常使用培训和现场操作参考。截图来自本机演示环境，不包含客户真实设备数据、真实账号口令或现场地址。</w:t>
            </w:r>
          </w:p>
        </w:tc>
      </w:tr>
    </w:tbl>
    <w:p w14:paraId="1AA8914B">
      <w:r>
        <w:rPr>
          <w:rFonts w:ascii="微软雅黑" w:hAnsi="微软雅黑" w:eastAsia="微软雅黑"/>
        </w:rPr>
        <w:br w:type="page"/>
      </w:r>
    </w:p>
    <w:p w14:paraId="6876D9FF">
      <w:pPr>
        <w:pStyle w:val="3"/>
      </w:pPr>
      <w:r>
        <w:rPr>
          <w:rFonts w:ascii="微软雅黑" w:hAnsi="微软雅黑" w:eastAsia="微软雅黑"/>
          <w:b w:val="0"/>
          <w:color w:val="152033"/>
          <w:sz w:val="22"/>
        </w:rPr>
        <w:t>文档范围</w:t>
      </w:r>
    </w:p>
    <w:p w14:paraId="19E3C091">
      <w:r>
        <w:t>本文档说明 FNTL-MS100 贝通云网管系统的常用操作流程，覆盖前端监控页面、管理员维护入口和客户侧运维管理事项。本文档不包含服务器部署、采集代理安装、服务启动等服务器维护内容。</w:t>
      </w:r>
    </w:p>
    <w:tbl>
      <w:tblPr>
        <w:tblStyle w:val="32"/>
        <w:tblW w:w="9288" w:type="dxa"/>
        <w:tblInd w:w="120" w:type="dxa"/>
        <w:tblBorders>
          <w:top w:val="single" w:color="D7E0EC" w:sz="4" w:space="0"/>
          <w:left w:val="single" w:color="D7E0EC" w:sz="4" w:space="0"/>
          <w:bottom w:val="single" w:color="D7E0EC" w:sz="4" w:space="0"/>
          <w:right w:val="single" w:color="D7E0EC" w:sz="4" w:space="0"/>
          <w:insideH w:val="single" w:color="D7E0EC" w:sz="4" w:space="0"/>
          <w:insideV w:val="single" w:color="D7E0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78B315C"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50109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章节</w:t>
            </w:r>
          </w:p>
        </w:tc>
        <w:tc>
          <w:tcPr>
            <w:tcW w:w="52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6524B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主要内容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22D43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适用角色</w:t>
            </w:r>
          </w:p>
        </w:tc>
      </w:tr>
      <w:tr w14:paraId="308882A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32507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快速入门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DF814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访问系统、登录、主界面导航、声音控制和登出。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52780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操作员 / 管理员</w:t>
            </w:r>
          </w:p>
        </w:tc>
      </w:tr>
      <w:tr w14:paraId="7680A68C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3D09F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日常监控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4D50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设备总览、拓扑图、侧边栏设备选择、设备筛选。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A85AC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操作员</w:t>
            </w:r>
          </w:p>
        </w:tc>
      </w:tr>
      <w:tr w14:paraId="2612E694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6A0E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告警处理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49CEB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当前告警确认、历史告警、继电器动作、用户操作记录。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DE25C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操作员 / 管理员</w:t>
            </w:r>
          </w:p>
        </w:tc>
      </w:tr>
      <w:tr w14:paraId="41BDDDD4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7A15B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管理功能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0705B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系统设置、文件管理、FAQ、后台基础数据维护。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6FCB2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管理员</w:t>
            </w:r>
          </w:p>
        </w:tc>
      </w:tr>
      <w:tr w14:paraId="767302CF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9698B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远程控制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FD04C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授权验证、模式切换、启动/停用/重启/自定义命令注意事项。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EDA03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授权管理员</w:t>
            </w:r>
          </w:p>
        </w:tc>
      </w:tr>
    </w:tbl>
    <w:p w14:paraId="541CBCEF">
      <w:pPr>
        <w:pStyle w:val="4"/>
        <w:bidi w:val="0"/>
      </w:pPr>
      <w:r>
        <w:rPr>
          <w:rFonts w:ascii="微软雅黑" w:hAnsi="微软雅黑" w:eastAsia="微软雅黑"/>
        </w:rPr>
        <w:t>角色说明</w:t>
      </w:r>
    </w:p>
    <w:tbl>
      <w:tblPr>
        <w:tblStyle w:val="32"/>
        <w:tblW w:w="9287" w:type="dxa"/>
        <w:tblInd w:w="120" w:type="dxa"/>
        <w:tblBorders>
          <w:top w:val="single" w:color="D7E0EC" w:sz="4" w:space="0"/>
          <w:left w:val="single" w:color="D7E0EC" w:sz="4" w:space="0"/>
          <w:bottom w:val="single" w:color="D7E0EC" w:sz="4" w:space="0"/>
          <w:right w:val="single" w:color="D7E0EC" w:sz="4" w:space="0"/>
          <w:insideH w:val="single" w:color="D7E0EC" w:sz="4" w:space="0"/>
          <w:insideV w:val="single" w:color="D7E0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D31C996">
        <w:tc>
          <w:tcPr>
            <w:tcW w:w="201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A8BC1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角色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5C0B5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可执行操作</w:t>
            </w:r>
          </w:p>
        </w:tc>
        <w:tc>
          <w:tcPr>
            <w:tcW w:w="29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6FCE8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操作限制</w:t>
            </w:r>
          </w:p>
        </w:tc>
      </w:tr>
      <w:tr w14:paraId="4FBF1BF0"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8F156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操作员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5011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查看设备、确认告警、查询记录、下载资料。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1C7A3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不能修改系统参数或后台基础数据。</w:t>
            </w:r>
          </w:p>
        </w:tc>
      </w:tr>
      <w:tr w14:paraId="0E701816"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33B89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系统管理员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7988E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维护设备信息、用户权限、FAQ、文件和系统参数。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FBA33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修改关键参数前需确认现场管理要求。</w:t>
            </w:r>
          </w:p>
        </w:tc>
      </w:tr>
      <w:tr w14:paraId="58E50BFB"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B43CA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授权管理员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4F94B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执行远程控制命令。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C3C39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必须通过现场授权验证，严禁在未确认设备状态时下发命令。</w:t>
            </w:r>
          </w:p>
        </w:tc>
      </w:tr>
    </w:tbl>
    <w:p w14:paraId="24B01247">
      <w:pPr>
        <w:pStyle w:val="3"/>
        <w:bidi w:val="0"/>
      </w:pPr>
      <w:r>
        <w:rPr>
          <w:rFonts w:ascii="微软雅黑" w:hAnsi="微软雅黑" w:eastAsia="微软雅黑"/>
        </w:rPr>
        <w:t>1 快速入门</w:t>
      </w:r>
    </w:p>
    <w:p w14:paraId="1F92FFDA">
      <w:pPr>
        <w:pStyle w:val="4"/>
        <w:bidi w:val="0"/>
      </w:pPr>
      <w:r>
        <w:rPr>
          <w:rFonts w:ascii="微软雅黑" w:hAnsi="微软雅黑" w:eastAsia="微软雅黑"/>
        </w:rPr>
        <w:t>登录系统</w:t>
      </w:r>
    </w:p>
    <w:p w14:paraId="25B1FABF">
      <w:pPr>
        <w:pStyle w:val="14"/>
        <w:numPr>
          <w:ilvl w:val="0"/>
          <w:numId w:val="7"/>
        </w:numPr>
        <w:spacing w:after="80"/>
      </w:pPr>
      <w:r>
        <w:rPr>
          <w:rFonts w:ascii="微软雅黑" w:hAnsi="微软雅黑" w:eastAsia="微软雅黑"/>
          <w:color w:val="152033"/>
          <w:sz w:val="21"/>
        </w:rPr>
        <w:t>在浏览器中访问现场提供的网管地址。常见示例为前端地址、BT 后端地址和 SY 后端地址，实际以现场交付信息为准。</w:t>
      </w:r>
    </w:p>
    <w:p w14:paraId="6321B849">
      <w:pPr>
        <w:pStyle w:val="14"/>
        <w:numPr>
          <w:ilvl w:val="0"/>
          <w:numId w:val="7"/>
        </w:numPr>
        <w:spacing w:after="80"/>
      </w:pPr>
      <w:r>
        <w:rPr>
          <w:rFonts w:ascii="微软雅黑" w:hAnsi="微软雅黑" w:eastAsia="微软雅黑"/>
          <w:color w:val="152033"/>
          <w:sz w:val="21"/>
        </w:rPr>
        <w:t>输入分配给当前人员的用户名和密码，点击“登陆”。</w:t>
      </w:r>
    </w:p>
    <w:p w14:paraId="3B1A6844">
      <w:pPr>
        <w:pStyle w:val="14"/>
        <w:numPr>
          <w:ilvl w:val="0"/>
          <w:numId w:val="7"/>
        </w:numPr>
        <w:spacing w:after="80"/>
      </w:pPr>
      <w:r>
        <w:rPr>
          <w:rFonts w:ascii="微软雅黑" w:hAnsi="微软雅黑" w:eastAsia="微软雅黑"/>
          <w:color w:val="152033"/>
          <w:sz w:val="21"/>
        </w:rPr>
        <w:t>登录成功后进入“设备监控”页面；若系统要求重新登录，请按提示重新输入账号。</w:t>
      </w:r>
    </w:p>
    <w:p w14:paraId="43FFE5BC">
      <w:pPr>
        <w:pStyle w:val="14"/>
        <w:numPr>
          <w:ilvl w:val="0"/>
          <w:numId w:val="7"/>
        </w:numPr>
        <w:spacing w:after="80"/>
      </w:pPr>
      <w:r>
        <w:rPr>
          <w:rFonts w:ascii="微软雅黑" w:hAnsi="微软雅黑" w:eastAsia="微软雅黑"/>
          <w:color w:val="152033"/>
          <w:sz w:val="21"/>
        </w:rPr>
        <w:t>离开值班席位或完成操作后，点击右上角“登出”。</w:t>
      </w:r>
    </w:p>
    <w:p w14:paraId="59F2798B">
      <w:pPr>
        <w:jc w:val="center"/>
      </w:pPr>
      <w:r>
        <w:rPr>
          <w:rFonts w:ascii="微软雅黑" w:hAnsi="微软雅黑" w:eastAsia="微软雅黑"/>
        </w:rPr>
        <w:drawing>
          <wp:inline distT="0" distB="0" distL="114300" distR="114300">
            <wp:extent cx="5943600" cy="3714750"/>
            <wp:effectExtent l="0" t="0" r="1016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22D3">
      <w:pPr>
        <w:spacing w:after="120" w:line="283" w:lineRule="auto"/>
        <w:jc w:val="center"/>
      </w:pPr>
      <w:r>
        <w:rPr>
          <w:rFonts w:ascii="微软雅黑" w:hAnsi="微软雅黑" w:eastAsia="微软雅黑"/>
          <w:color w:val="4B5563"/>
          <w:sz w:val="18"/>
        </w:rPr>
        <w:t>图 1 登录页（界面示例）</w:t>
      </w:r>
    </w:p>
    <w:tbl>
      <w:tblPr>
        <w:tblStyle w:val="32"/>
        <w:tblW w:w="9288" w:type="dxa"/>
        <w:tblInd w:w="120" w:type="dxa"/>
        <w:tblBorders>
          <w:top w:val="single" w:color="F0C36A" w:sz="4" w:space="0"/>
          <w:left w:val="single" w:color="F0C36A" w:sz="4" w:space="0"/>
          <w:bottom w:val="single" w:color="F0C36A" w:sz="4" w:space="0"/>
          <w:right w:val="single" w:color="F0C36A" w:sz="4" w:space="0"/>
          <w:insideH w:val="single" w:color="F0C36A" w:sz="4" w:space="0"/>
          <w:insideV w:val="single" w:color="F0C36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5245546">
        <w:tc>
          <w:tcPr>
            <w:tcW w:w="9288" w:type="dxa"/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8418C">
            <w:pPr>
              <w:spacing w:after="0"/>
            </w:pPr>
            <w:r>
              <w:rPr>
                <w:rFonts w:ascii="Calibri" w:hAnsi="Calibri" w:eastAsia="微软雅黑"/>
                <w:b/>
                <w:color w:val="7A4B00"/>
                <w:sz w:val="20"/>
              </w:rPr>
              <w:t>注意：</w:t>
            </w:r>
            <w:r>
              <w:rPr>
                <w:rFonts w:ascii="Calibri" w:hAnsi="Calibri" w:eastAsia="微软雅黑"/>
                <w:color w:val="7A4B00"/>
                <w:sz w:val="20"/>
              </w:rPr>
              <w:t>不要将账号、密码、远程控制授权口令写在纸质记录或普通聊天工具中。账号权限应按岗位分配。</w:t>
            </w:r>
          </w:p>
        </w:tc>
      </w:tr>
    </w:tbl>
    <w:p w14:paraId="3DD9BF7B">
      <w:pPr>
        <w:pStyle w:val="4"/>
        <w:bidi w:val="0"/>
      </w:pPr>
      <w:r>
        <w:rPr>
          <w:rFonts w:ascii="微软雅黑" w:hAnsi="微软雅黑" w:eastAsia="微软雅黑"/>
        </w:rPr>
        <w:t>主界面导航</w:t>
      </w:r>
    </w:p>
    <w:tbl>
      <w:tblPr>
        <w:tblStyle w:val="32"/>
        <w:tblW w:w="9288" w:type="dxa"/>
        <w:tblInd w:w="120" w:type="dxa"/>
        <w:tblBorders>
          <w:top w:val="single" w:color="D7E0EC" w:sz="4" w:space="0"/>
          <w:left w:val="single" w:color="D7E0EC" w:sz="4" w:space="0"/>
          <w:bottom w:val="single" w:color="D7E0EC" w:sz="4" w:space="0"/>
          <w:right w:val="single" w:color="D7E0EC" w:sz="4" w:space="0"/>
          <w:insideH w:val="single" w:color="D7E0EC" w:sz="4" w:space="0"/>
          <w:insideV w:val="single" w:color="D7E0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70CDFC5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31F30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顶部入口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59A6D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用途</w:t>
            </w:r>
          </w:p>
        </w:tc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77DF5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使用建议</w:t>
            </w:r>
          </w:p>
        </w:tc>
      </w:tr>
      <w:tr w14:paraId="1370BD84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CFB19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设备监控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8A783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查看拓扑、设备列表、设备详情和状态。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2F27A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值班日常默认停留页面。</w:t>
            </w:r>
          </w:p>
        </w:tc>
      </w:tr>
      <w:tr w14:paraId="71D0526C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3353D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当前告警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C45EF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查看未恢复或仍处于当前状态的告警。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C3573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有告警声或红黄状态时优先查看。</w:t>
            </w:r>
          </w:p>
        </w:tc>
      </w:tr>
      <w:tr w14:paraId="524DD6D8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7BFD1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记录查询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88351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查询历史告警、继电器动作、用户操作记录。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A1483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用于复盘、交接班和问题追踪。</w:t>
            </w:r>
          </w:p>
        </w:tc>
      </w:tr>
      <w:tr w14:paraId="1EDF453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A183F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系统设置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F838E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调整运行参数、告警延时、数据清理和自动导出。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CC8DE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仅超级用户可见，谨慎修改。</w:t>
            </w:r>
          </w:p>
        </w:tc>
      </w:tr>
      <w:tr w14:paraId="123D37B0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84386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帮助页面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15600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查看 FAQ、联系方式和文件管理。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47BDF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用于培训资料和现场文件共享。</w:t>
            </w:r>
          </w:p>
        </w:tc>
      </w:tr>
    </w:tbl>
    <w:p w14:paraId="5D72C445">
      <w:pPr>
        <w:pStyle w:val="16"/>
        <w:spacing w:after="80"/>
      </w:pPr>
      <w:r>
        <w:rPr>
          <w:rFonts w:ascii="微软雅黑" w:hAnsi="微软雅黑" w:eastAsia="微软雅黑"/>
          <w:color w:val="152033"/>
          <w:sz w:val="21"/>
        </w:rPr>
        <w:t>“声音”开关控制告警声是否启用。</w:t>
      </w:r>
    </w:p>
    <w:p w14:paraId="054311DD">
      <w:pPr>
        <w:pStyle w:val="16"/>
        <w:spacing w:after="80"/>
      </w:pPr>
      <w:r>
        <w:rPr>
          <w:rFonts w:ascii="微软雅黑" w:hAnsi="微软雅黑" w:eastAsia="微软雅黑"/>
          <w:color w:val="152033"/>
          <w:sz w:val="21"/>
        </w:rPr>
        <w:t>“暂停告警声”只暂停当前提示音，不代表告警已经处理。</w:t>
      </w:r>
    </w:p>
    <w:p w14:paraId="65F6DBBC">
      <w:pPr>
        <w:pStyle w:val="16"/>
        <w:spacing w:after="80"/>
      </w:pPr>
      <w:r>
        <w:rPr>
          <w:rFonts w:ascii="微软雅黑" w:hAnsi="微软雅黑" w:eastAsia="微软雅黑"/>
          <w:color w:val="152033"/>
          <w:sz w:val="21"/>
        </w:rPr>
        <w:t>“试音”用于确认浏览器和音箱是否可以正常播放告警声。</w:t>
      </w:r>
    </w:p>
    <w:p w14:paraId="45077B85">
      <w:pPr>
        <w:pStyle w:val="3"/>
        <w:bidi w:val="0"/>
      </w:pPr>
      <w:r>
        <w:rPr>
          <w:rFonts w:ascii="微软雅黑" w:hAnsi="微软雅黑" w:eastAsia="微软雅黑"/>
        </w:rPr>
        <w:t>2 日常监控</w:t>
      </w:r>
    </w:p>
    <w:p w14:paraId="0328E58E">
      <w:pPr>
        <w:pStyle w:val="4"/>
        <w:bidi w:val="0"/>
      </w:pPr>
      <w:r>
        <w:rPr>
          <w:rFonts w:ascii="微软雅黑" w:hAnsi="微软雅黑" w:eastAsia="微软雅黑"/>
        </w:rPr>
        <w:t>查看拓扑图</w:t>
      </w:r>
    </w:p>
    <w:p w14:paraId="09386DC5">
      <w:pPr>
        <w:pStyle w:val="14"/>
        <w:numPr>
          <w:ilvl w:val="0"/>
          <w:numId w:val="8"/>
        </w:numPr>
        <w:spacing w:after="80"/>
      </w:pPr>
      <w:r>
        <w:rPr>
          <w:rFonts w:ascii="微软雅黑" w:hAnsi="微软雅黑" w:eastAsia="微软雅黑"/>
          <w:color w:val="152033"/>
          <w:sz w:val="21"/>
        </w:rPr>
        <w:t>进入“设备监控”后，先查看总览指标，确认在线设备、当前告警和接入系统数量。</w:t>
      </w:r>
    </w:p>
    <w:p w14:paraId="620474EA">
      <w:pPr>
        <w:pStyle w:val="14"/>
        <w:numPr>
          <w:ilvl w:val="0"/>
          <w:numId w:val="8"/>
        </w:numPr>
        <w:spacing w:after="80"/>
      </w:pPr>
      <w:r>
        <w:rPr>
          <w:rFonts w:ascii="微软雅黑" w:hAnsi="微软雅黑" w:eastAsia="微软雅黑"/>
          <w:color w:val="152033"/>
          <w:sz w:val="21"/>
        </w:rPr>
        <w:t>在拓扑图中查看设备位置和连线状态。绿色通常表示正常，黄色表示有告警，红色表示通信异常或严重状态。</w:t>
      </w:r>
    </w:p>
    <w:p w14:paraId="591746AC">
      <w:pPr>
        <w:pStyle w:val="14"/>
        <w:numPr>
          <w:ilvl w:val="0"/>
          <w:numId w:val="8"/>
        </w:numPr>
        <w:spacing w:after="80"/>
      </w:pPr>
      <w:r>
        <w:rPr>
          <w:rFonts w:ascii="微软雅黑" w:hAnsi="微软雅黑" w:eastAsia="微软雅黑"/>
          <w:color w:val="152033"/>
          <w:sz w:val="21"/>
        </w:rPr>
        <w:t>在“选择需要监控的设备”区域调整重点设备，拓扑图和告警提示会优先展示已选设备。</w:t>
      </w:r>
    </w:p>
    <w:p w14:paraId="01BE417D">
      <w:pPr>
        <w:pStyle w:val="14"/>
        <w:numPr>
          <w:ilvl w:val="0"/>
          <w:numId w:val="8"/>
        </w:numPr>
        <w:spacing w:after="80"/>
      </w:pPr>
      <w:r>
        <w:rPr>
          <w:rFonts w:ascii="微软雅黑" w:hAnsi="微软雅黑" w:eastAsia="微软雅黑"/>
          <w:color w:val="152033"/>
          <w:sz w:val="21"/>
        </w:rPr>
        <w:t>通过左侧设备列表切换到具体设备详情。</w:t>
      </w:r>
    </w:p>
    <w:p w14:paraId="33E6B917">
      <w:pPr>
        <w:jc w:val="center"/>
      </w:pPr>
      <w:r>
        <w:rPr>
          <w:rFonts w:ascii="微软雅黑" w:hAnsi="微软雅黑" w:eastAsia="微软雅黑"/>
        </w:rPr>
        <w:drawing>
          <wp:inline distT="0" distB="0" distL="114300" distR="114300">
            <wp:extent cx="5943600" cy="3714750"/>
            <wp:effectExtent l="0" t="0" r="10160" b="228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A8EB">
      <w:pPr>
        <w:spacing w:after="120" w:line="283" w:lineRule="auto"/>
        <w:jc w:val="center"/>
      </w:pPr>
      <w:r>
        <w:rPr>
          <w:rFonts w:ascii="微软雅黑" w:hAnsi="微软雅黑" w:eastAsia="微软雅黑"/>
          <w:color w:val="4B5563"/>
          <w:sz w:val="18"/>
        </w:rPr>
        <w:t>图 2 设备监控总览（界面示例）</w:t>
      </w:r>
    </w:p>
    <w:tbl>
      <w:tblPr>
        <w:tblStyle w:val="32"/>
        <w:tblW w:w="9288" w:type="dxa"/>
        <w:tblInd w:w="120" w:type="dxa"/>
        <w:tblBorders>
          <w:top w:val="single" w:color="F0C36A" w:sz="4" w:space="0"/>
          <w:left w:val="single" w:color="F0C36A" w:sz="4" w:space="0"/>
          <w:bottom w:val="single" w:color="F0C36A" w:sz="4" w:space="0"/>
          <w:right w:val="single" w:color="F0C36A" w:sz="4" w:space="0"/>
          <w:insideH w:val="single" w:color="F0C36A" w:sz="4" w:space="0"/>
          <w:insideV w:val="single" w:color="F0C36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F4A9B97">
        <w:tc>
          <w:tcPr>
            <w:tcW w:w="9288" w:type="dxa"/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6D9AF">
            <w:pPr>
              <w:spacing w:after="0"/>
            </w:pPr>
            <w:r>
              <w:rPr>
                <w:rFonts w:ascii="Calibri" w:hAnsi="Calibri" w:eastAsia="微软雅黑"/>
                <w:b/>
                <w:color w:val="7A4B00"/>
                <w:sz w:val="20"/>
              </w:rPr>
              <w:t>注意：</w:t>
            </w:r>
            <w:r>
              <w:rPr>
                <w:rFonts w:ascii="Calibri" w:hAnsi="Calibri" w:eastAsia="微软雅黑"/>
                <w:color w:val="7A4B00"/>
                <w:sz w:val="20"/>
              </w:rPr>
              <w:t>拓扑状态用于辅助判断，不替代现场规章和设备实物状态。出现异常时应结合告警、记录和现场确认。</w:t>
            </w:r>
          </w:p>
        </w:tc>
      </w:tr>
    </w:tbl>
    <w:p w14:paraId="1310A19F">
      <w:pPr>
        <w:pStyle w:val="4"/>
      </w:pPr>
      <w:r>
        <w:t>识别拓扑状态</w:t>
      </w:r>
    </w:p>
    <w:p w14:paraId="3B3C9143">
      <w:r>
        <w:t>拓扑图通过设备颜色和连线颜色提示现场状态。值守人员应先看颜色变化，再打开设备详情确认告警含义和发生时间。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8FF286B">
        <w:trPr>
          <w:jc w:val="center"/>
        </w:trPr>
        <w:tc>
          <w:tcPr>
            <w:tcW w:w="3120" w:type="dxa"/>
            <w:shd w:val="clear" w:color="auto" w:fill="EAF2F8"/>
            <w:vAlign w:val="center"/>
          </w:tcPr>
          <w:p w14:paraId="65A11273">
            <w:r>
              <w:rPr>
                <w:b/>
                <w:sz w:val="18"/>
              </w:rPr>
              <w:t>状态</w:t>
            </w:r>
          </w:p>
        </w:tc>
        <w:tc>
          <w:tcPr>
            <w:tcW w:w="3120" w:type="dxa"/>
            <w:shd w:val="clear" w:color="auto" w:fill="EAF2F8"/>
            <w:vAlign w:val="center"/>
          </w:tcPr>
          <w:p w14:paraId="7C6EE5C4">
            <w:r>
              <w:rPr>
                <w:b/>
                <w:sz w:val="18"/>
              </w:rPr>
              <w:t>界面示例</w:t>
            </w:r>
          </w:p>
        </w:tc>
        <w:tc>
          <w:tcPr>
            <w:tcW w:w="3120" w:type="dxa"/>
            <w:shd w:val="clear" w:color="auto" w:fill="EAF2F8"/>
            <w:vAlign w:val="center"/>
          </w:tcPr>
          <w:p w14:paraId="0FE7E10E">
            <w:r>
              <w:rPr>
                <w:b/>
                <w:sz w:val="18"/>
              </w:rPr>
              <w:t>处理建议</w:t>
            </w:r>
          </w:p>
        </w:tc>
      </w:tr>
      <w:tr w14:paraId="25D23566">
        <w:trPr>
          <w:jc w:val="center"/>
        </w:trPr>
        <w:tc>
          <w:tcPr>
            <w:tcW w:w="3120" w:type="dxa"/>
            <w:vAlign w:val="center"/>
          </w:tcPr>
          <w:p w14:paraId="697A9382">
            <w:r>
              <w:rPr>
                <w:b w:val="0"/>
                <w:sz w:val="18"/>
              </w:rPr>
              <w:t>正常</w:t>
            </w:r>
          </w:p>
        </w:tc>
        <w:tc>
          <w:tcPr>
            <w:tcW w:w="3120" w:type="dxa"/>
            <w:vAlign w:val="center"/>
          </w:tcPr>
          <w:p w14:paraId="531131A6">
            <w:pPr>
              <w:jc w:val="center"/>
            </w:pPr>
            <w:r>
              <w:drawing>
                <wp:inline distT="0" distB="0" distL="114300" distR="114300">
                  <wp:extent cx="731520" cy="413385"/>
                  <wp:effectExtent l="0" t="0" r="5080" b="1841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13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Align w:val="center"/>
          </w:tcPr>
          <w:p w14:paraId="57F4A042">
            <w:r>
              <w:rPr>
                <w:b w:val="0"/>
                <w:sz w:val="18"/>
              </w:rPr>
              <w:t>设备框为绿色，表示设备当前状态正常。</w:t>
            </w:r>
          </w:p>
        </w:tc>
      </w:tr>
      <w:tr w14:paraId="61DA6AE6">
        <w:trPr>
          <w:jc w:val="center"/>
        </w:trPr>
        <w:tc>
          <w:tcPr>
            <w:tcW w:w="3120" w:type="dxa"/>
            <w:vAlign w:val="center"/>
          </w:tcPr>
          <w:p w14:paraId="084FFA90">
            <w:r>
              <w:rPr>
                <w:b w:val="0"/>
                <w:sz w:val="18"/>
              </w:rPr>
              <w:t>告警</w:t>
            </w:r>
          </w:p>
        </w:tc>
        <w:tc>
          <w:tcPr>
            <w:tcW w:w="3120" w:type="dxa"/>
            <w:vAlign w:val="center"/>
          </w:tcPr>
          <w:p w14:paraId="5C4C8A5C">
            <w:pPr>
              <w:jc w:val="center"/>
            </w:pPr>
            <w:r>
              <w:drawing>
                <wp:inline distT="0" distB="0" distL="114300" distR="114300">
                  <wp:extent cx="731520" cy="425450"/>
                  <wp:effectExtent l="0" t="0" r="5080" b="635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2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Align w:val="center"/>
          </w:tcPr>
          <w:p w14:paraId="6E83C732">
            <w:r>
              <w:rPr>
                <w:b w:val="0"/>
                <w:sz w:val="18"/>
              </w:rPr>
              <w:t>设备框为红色，表示设备存在当前告警，应进入当前告警页面查看明细。</w:t>
            </w:r>
          </w:p>
        </w:tc>
      </w:tr>
      <w:tr w14:paraId="1EED1C18">
        <w:trPr>
          <w:jc w:val="center"/>
        </w:trPr>
        <w:tc>
          <w:tcPr>
            <w:tcW w:w="3120" w:type="dxa"/>
            <w:vAlign w:val="center"/>
          </w:tcPr>
          <w:p w14:paraId="23A7822F">
            <w:r>
              <w:rPr>
                <w:b w:val="0"/>
                <w:sz w:val="18"/>
              </w:rPr>
              <w:t>离线</w:t>
            </w:r>
          </w:p>
        </w:tc>
        <w:tc>
          <w:tcPr>
            <w:tcW w:w="3120" w:type="dxa"/>
            <w:vAlign w:val="center"/>
          </w:tcPr>
          <w:p w14:paraId="436E78F1">
            <w:pPr>
              <w:jc w:val="center"/>
            </w:pPr>
            <w:r>
              <w:drawing>
                <wp:inline distT="0" distB="0" distL="114300" distR="114300">
                  <wp:extent cx="731520" cy="406400"/>
                  <wp:effectExtent l="0" t="0" r="508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0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Align w:val="center"/>
          </w:tcPr>
          <w:p w14:paraId="1886880C">
            <w:r>
              <w:rPr>
                <w:b w:val="0"/>
                <w:sz w:val="18"/>
              </w:rPr>
              <w:t>设备框为灰色，表示系统未收到设备状态，应检查网络和设备供电。</w:t>
            </w:r>
          </w:p>
        </w:tc>
      </w:tr>
    </w:tbl>
    <w:p w14:paraId="4B29C428">
      <w:r>
        <w:t>连线为绿色时表示链路正常；红色表示链路告警；灰色表示两端设备均离线。存在多条链路时，部分链路故障可能显示为红绿交替，需结合设备详情核对。</w:t>
      </w:r>
    </w:p>
    <w:p w14:paraId="001D9786">
      <w:pPr>
        <w:pStyle w:val="3"/>
        <w:bidi w:val="0"/>
      </w:pPr>
      <w:r>
        <w:rPr>
          <w:rFonts w:ascii="微软雅黑" w:hAnsi="微软雅黑" w:eastAsia="微软雅黑"/>
        </w:rPr>
        <w:t>3 设备详情</w:t>
      </w:r>
    </w:p>
    <w:p w14:paraId="3F093CC4">
      <w:pPr>
        <w:pStyle w:val="4"/>
        <w:bidi w:val="0"/>
      </w:pPr>
      <w:r>
        <w:rPr>
          <w:rFonts w:ascii="微软雅黑" w:hAnsi="微软雅黑" w:eastAsia="微软雅黑"/>
        </w:rPr>
        <w:t>查看设备状态</w:t>
      </w:r>
    </w:p>
    <w:p w14:paraId="4A6B1986">
      <w:r>
        <w:t>设备详情页用于查看单台设备的邻站关系、备注、网管板状态、方向状态、单板状态、继电器状态和远程操作入口。BT 设备可查看闭塞电压监测图，SY 设备显示系统状态、方向状态和设备基本信息。</w:t>
      </w:r>
    </w:p>
    <w:p w14:paraId="1AF09944">
      <w:pPr>
        <w:pStyle w:val="14"/>
        <w:numPr>
          <w:ilvl w:val="0"/>
          <w:numId w:val="9"/>
        </w:numPr>
        <w:spacing w:after="80"/>
      </w:pPr>
      <w:r>
        <w:t>在左侧设备列表中选择设备，页面标题显示“当前设备”。</w:t>
      </w:r>
    </w:p>
    <w:p w14:paraId="6F756F97">
      <w:pPr>
        <w:pStyle w:val="14"/>
        <w:numPr>
          <w:ilvl w:val="0"/>
          <w:numId w:val="9"/>
        </w:numPr>
        <w:spacing w:after="80"/>
      </w:pPr>
      <w:r>
        <w:t>先查看邻站设备、邻站方向和备注，确认当前设备所在位置。</w:t>
      </w:r>
    </w:p>
    <w:p w14:paraId="1523A0C2">
      <w:pPr>
        <w:pStyle w:val="14"/>
        <w:numPr>
          <w:ilvl w:val="0"/>
          <w:numId w:val="9"/>
        </w:numPr>
        <w:spacing w:after="80"/>
      </w:pPr>
      <w:r>
        <w:t>查看网管板状态。显示“正常”时表示页面已获取设备状态；显示“离线”时应先核对网络和设备供电。</w:t>
      </w:r>
    </w:p>
    <w:p w14:paraId="6E2010AB">
      <w:pPr>
        <w:pStyle w:val="14"/>
        <w:numPr>
          <w:ilvl w:val="0"/>
          <w:numId w:val="9"/>
        </w:numPr>
        <w:spacing w:after="80"/>
      </w:pPr>
      <w:r>
        <w:t>查看一方向、二方向的单板状态和主要状态信息。绿色通常表示正常，红色或橙色表示故障或异常。</w:t>
      </w:r>
    </w:p>
    <w:p w14:paraId="55BA447E">
      <w:pPr>
        <w:pStyle w:val="14"/>
        <w:numPr>
          <w:ilvl w:val="0"/>
          <w:numId w:val="9"/>
        </w:numPr>
        <w:jc w:val="center"/>
      </w:pPr>
      <w:r>
        <w:t>需要核对对端关系时，使用“显示邻站信息”或“隐藏邻站信息”切换显示范围。</w:t>
      </w:r>
    </w:p>
    <w:p w14:paraId="0689A34E">
      <w:pPr>
        <w:pStyle w:val="14"/>
        <w:numPr>
          <w:ilvl w:val="0"/>
          <w:numId w:val="9"/>
        </w:numPr>
      </w:pPr>
      <w:r>
        <w:t>需要长时间观察同一设备时，点击“打开新窗口”，将设备详情独立显示。</w:t>
      </w:r>
    </w:p>
    <w:p w14:paraId="207C2A51">
      <w:pPr>
        <w:pageBreakBefore/>
      </w:pPr>
      <w:r>
        <w:t>设备详情页常用按钮说明如下。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024"/>
        <w:gridCol w:w="3960"/>
      </w:tblGrid>
      <w:tr w14:paraId="53B86526">
        <w:trPr>
          <w:jc w:val="center"/>
        </w:trPr>
        <w:tc>
          <w:tcPr>
            <w:tcW w:w="2376" w:type="dxa"/>
            <w:shd w:val="clear" w:color="auto" w:fill="EAF2F8"/>
            <w:vAlign w:val="center"/>
          </w:tcPr>
          <w:p w14:paraId="6C1B69BA">
            <w:pPr>
              <w:spacing w:before="0" w:after="0"/>
            </w:pPr>
            <w:r>
              <w:rPr>
                <w:b/>
                <w:sz w:val="17"/>
              </w:rPr>
              <w:t>按钮或入口</w:t>
            </w:r>
          </w:p>
        </w:tc>
        <w:tc>
          <w:tcPr>
            <w:tcW w:w="3024" w:type="dxa"/>
            <w:shd w:val="clear" w:color="auto" w:fill="EAF2F8"/>
            <w:vAlign w:val="center"/>
          </w:tcPr>
          <w:p w14:paraId="4758BA42">
            <w:pPr>
              <w:spacing w:before="0" w:after="0"/>
            </w:pPr>
            <w:r>
              <w:rPr>
                <w:b/>
                <w:sz w:val="17"/>
              </w:rPr>
              <w:t>功能</w:t>
            </w:r>
          </w:p>
        </w:tc>
        <w:tc>
          <w:tcPr>
            <w:tcW w:w="3960" w:type="dxa"/>
            <w:shd w:val="clear" w:color="auto" w:fill="EAF2F8"/>
            <w:vAlign w:val="center"/>
          </w:tcPr>
          <w:p w14:paraId="0879EEB0">
            <w:pPr>
              <w:spacing w:before="0" w:after="0"/>
            </w:pPr>
            <w:r>
              <w:rPr>
                <w:b/>
                <w:sz w:val="17"/>
              </w:rPr>
              <w:t>使用提示</w:t>
            </w:r>
          </w:p>
        </w:tc>
      </w:tr>
      <w:tr w14:paraId="5F894597">
        <w:trPr>
          <w:jc w:val="center"/>
        </w:trPr>
        <w:tc>
          <w:tcPr>
            <w:tcW w:w="2376" w:type="dxa"/>
            <w:vAlign w:val="center"/>
          </w:tcPr>
          <w:p w14:paraId="26162EC2">
            <w:pPr>
              <w:spacing w:before="0" w:after="0"/>
            </w:pPr>
            <w:r>
              <w:rPr>
                <w:b w:val="0"/>
                <w:sz w:val="17"/>
              </w:rPr>
              <w:t>加载闭塞电压监测图</w:t>
            </w:r>
          </w:p>
        </w:tc>
        <w:tc>
          <w:tcPr>
            <w:tcW w:w="3024" w:type="dxa"/>
            <w:vAlign w:val="center"/>
          </w:tcPr>
          <w:p w14:paraId="5C12B740">
            <w:pPr>
              <w:spacing w:before="0" w:after="0"/>
            </w:pPr>
            <w:r>
              <w:rPr>
                <w:b w:val="0"/>
                <w:sz w:val="17"/>
              </w:rPr>
              <w:t>打开 BT 闭塞电压曲线。</w:t>
            </w:r>
          </w:p>
        </w:tc>
        <w:tc>
          <w:tcPr>
            <w:tcW w:w="3960" w:type="dxa"/>
            <w:vAlign w:val="center"/>
          </w:tcPr>
          <w:p w14:paraId="1BF22048">
            <w:pPr>
              <w:spacing w:before="0" w:after="0"/>
            </w:pPr>
            <w:r>
              <w:rPr>
                <w:b w:val="0"/>
                <w:sz w:val="17"/>
              </w:rPr>
              <w:t>用于分析电压变化；不需要时可关闭，减少页面占用。</w:t>
            </w:r>
          </w:p>
        </w:tc>
      </w:tr>
      <w:tr w14:paraId="16BA9BE8">
        <w:trPr>
          <w:jc w:val="center"/>
        </w:trPr>
        <w:tc>
          <w:tcPr>
            <w:tcW w:w="2376" w:type="dxa"/>
            <w:vAlign w:val="center"/>
          </w:tcPr>
          <w:p w14:paraId="17E3A57D">
            <w:pPr>
              <w:spacing w:before="0" w:after="0"/>
            </w:pPr>
            <w:r>
              <w:rPr>
                <w:b w:val="0"/>
                <w:sz w:val="17"/>
              </w:rPr>
              <w:t>发送远程控制命令</w:t>
            </w:r>
          </w:p>
        </w:tc>
        <w:tc>
          <w:tcPr>
            <w:tcW w:w="3024" w:type="dxa"/>
            <w:vAlign w:val="center"/>
          </w:tcPr>
          <w:p w14:paraId="2C00D5CD">
            <w:pPr>
              <w:spacing w:before="0" w:after="0"/>
            </w:pPr>
            <w:r>
              <w:rPr>
                <w:b w:val="0"/>
                <w:sz w:val="17"/>
              </w:rPr>
              <w:t>打开远程控制验证窗口。</w:t>
            </w:r>
          </w:p>
        </w:tc>
        <w:tc>
          <w:tcPr>
            <w:tcW w:w="3960" w:type="dxa"/>
            <w:vAlign w:val="center"/>
          </w:tcPr>
          <w:p w14:paraId="28DC5A30">
            <w:pPr>
              <w:spacing w:before="0" w:after="0"/>
            </w:pPr>
            <w:r>
              <w:rPr>
                <w:b w:val="0"/>
                <w:sz w:val="17"/>
              </w:rPr>
              <w:t>属于高风险入口，必须按现场授权流程操作。</w:t>
            </w:r>
          </w:p>
        </w:tc>
      </w:tr>
      <w:tr w14:paraId="3C67AD02">
        <w:trPr>
          <w:jc w:val="center"/>
        </w:trPr>
        <w:tc>
          <w:tcPr>
            <w:tcW w:w="2376" w:type="dxa"/>
            <w:vAlign w:val="center"/>
          </w:tcPr>
          <w:p w14:paraId="53B73218">
            <w:pPr>
              <w:spacing w:before="0" w:after="0"/>
            </w:pPr>
            <w:r>
              <w:rPr>
                <w:b w:val="0"/>
                <w:sz w:val="17"/>
              </w:rPr>
              <w:t>打开新窗口</w:t>
            </w:r>
          </w:p>
        </w:tc>
        <w:tc>
          <w:tcPr>
            <w:tcW w:w="3024" w:type="dxa"/>
            <w:vAlign w:val="center"/>
          </w:tcPr>
          <w:p w14:paraId="539449FF">
            <w:pPr>
              <w:spacing w:before="0" w:after="0"/>
            </w:pPr>
            <w:r>
              <w:rPr>
                <w:b w:val="0"/>
                <w:sz w:val="17"/>
              </w:rPr>
              <w:t>用独立窗口显示当前设备。</w:t>
            </w:r>
          </w:p>
        </w:tc>
        <w:tc>
          <w:tcPr>
            <w:tcW w:w="3960" w:type="dxa"/>
            <w:vAlign w:val="center"/>
          </w:tcPr>
          <w:p w14:paraId="3B4D7F02">
            <w:pPr>
              <w:spacing w:before="0" w:after="0"/>
            </w:pPr>
            <w:r>
              <w:rPr>
                <w:b w:val="0"/>
                <w:sz w:val="17"/>
              </w:rPr>
              <w:t>适合值守人员长时间观察同一设备。</w:t>
            </w:r>
          </w:p>
        </w:tc>
      </w:tr>
      <w:tr w14:paraId="18B905FC">
        <w:trPr>
          <w:jc w:val="center"/>
        </w:trPr>
        <w:tc>
          <w:tcPr>
            <w:tcW w:w="2376" w:type="dxa"/>
            <w:vAlign w:val="center"/>
          </w:tcPr>
          <w:p w14:paraId="2B66FE37">
            <w:pPr>
              <w:spacing w:before="0" w:after="0"/>
            </w:pPr>
            <w:r>
              <w:rPr>
                <w:b w:val="0"/>
                <w:sz w:val="17"/>
              </w:rPr>
              <w:t>隐藏一方向信息 / 显示一方向信息</w:t>
            </w:r>
          </w:p>
        </w:tc>
        <w:tc>
          <w:tcPr>
            <w:tcW w:w="3024" w:type="dxa"/>
            <w:vAlign w:val="center"/>
          </w:tcPr>
          <w:p w14:paraId="07E5DCB4">
            <w:pPr>
              <w:spacing w:before="0" w:after="0"/>
            </w:pPr>
            <w:r>
              <w:rPr>
                <w:b w:val="0"/>
                <w:sz w:val="17"/>
              </w:rPr>
              <w:t>折叠或展开一方向状态。</w:t>
            </w:r>
          </w:p>
        </w:tc>
        <w:tc>
          <w:tcPr>
            <w:tcW w:w="3960" w:type="dxa"/>
            <w:vAlign w:val="center"/>
          </w:tcPr>
          <w:p w14:paraId="2312BE59">
            <w:pPr>
              <w:spacing w:before="0" w:after="0"/>
            </w:pPr>
            <w:r>
              <w:rPr>
                <w:b w:val="0"/>
                <w:sz w:val="17"/>
              </w:rPr>
              <w:t>页面内容较多时可只保留关注方向。</w:t>
            </w:r>
          </w:p>
        </w:tc>
      </w:tr>
      <w:tr w14:paraId="0C084A6F">
        <w:trPr>
          <w:jc w:val="center"/>
        </w:trPr>
        <w:tc>
          <w:tcPr>
            <w:tcW w:w="2376" w:type="dxa"/>
            <w:vAlign w:val="center"/>
          </w:tcPr>
          <w:p w14:paraId="4CFD03DE">
            <w:pPr>
              <w:spacing w:before="0" w:after="0"/>
            </w:pPr>
            <w:r>
              <w:rPr>
                <w:b w:val="0"/>
                <w:sz w:val="17"/>
              </w:rPr>
              <w:t>隐藏二方向信息 / 显示二方向信息</w:t>
            </w:r>
          </w:p>
        </w:tc>
        <w:tc>
          <w:tcPr>
            <w:tcW w:w="3024" w:type="dxa"/>
            <w:vAlign w:val="center"/>
          </w:tcPr>
          <w:p w14:paraId="7F238708">
            <w:pPr>
              <w:spacing w:before="0" w:after="0"/>
            </w:pPr>
            <w:r>
              <w:rPr>
                <w:b w:val="0"/>
                <w:sz w:val="17"/>
              </w:rPr>
              <w:t>折叠或展开二方向状态。</w:t>
            </w:r>
          </w:p>
        </w:tc>
        <w:tc>
          <w:tcPr>
            <w:tcW w:w="3960" w:type="dxa"/>
            <w:vAlign w:val="center"/>
          </w:tcPr>
          <w:p w14:paraId="642D42C1">
            <w:pPr>
              <w:spacing w:before="0" w:after="0"/>
            </w:pPr>
            <w:r>
              <w:rPr>
                <w:b w:val="0"/>
                <w:sz w:val="17"/>
              </w:rPr>
              <w:t>用于快速定位需要查看的方向。</w:t>
            </w:r>
          </w:p>
        </w:tc>
      </w:tr>
      <w:tr w14:paraId="1063B858">
        <w:trPr>
          <w:jc w:val="center"/>
        </w:trPr>
        <w:tc>
          <w:tcPr>
            <w:tcW w:w="2376" w:type="dxa"/>
            <w:vAlign w:val="center"/>
          </w:tcPr>
          <w:p w14:paraId="41BD4744">
            <w:pPr>
              <w:spacing w:before="0" w:after="0"/>
            </w:pPr>
            <w:r>
              <w:rPr>
                <w:b w:val="0"/>
                <w:sz w:val="17"/>
              </w:rPr>
              <w:t>隐藏邻站信息 / 显示邻站信息</w:t>
            </w:r>
          </w:p>
        </w:tc>
        <w:tc>
          <w:tcPr>
            <w:tcW w:w="3024" w:type="dxa"/>
            <w:vAlign w:val="center"/>
          </w:tcPr>
          <w:p w14:paraId="67890ABD">
            <w:pPr>
              <w:spacing w:before="0" w:after="0"/>
            </w:pPr>
            <w:r>
              <w:rPr>
                <w:b w:val="0"/>
                <w:sz w:val="17"/>
              </w:rPr>
              <w:t>切换邻站状态字段。</w:t>
            </w:r>
          </w:p>
        </w:tc>
        <w:tc>
          <w:tcPr>
            <w:tcW w:w="3960" w:type="dxa"/>
            <w:vAlign w:val="center"/>
          </w:tcPr>
          <w:p w14:paraId="5C1D970D">
            <w:pPr>
              <w:spacing w:before="0" w:after="0"/>
            </w:pPr>
            <w:r>
              <w:rPr>
                <w:b w:val="0"/>
                <w:sz w:val="17"/>
              </w:rPr>
              <w:t>需要比对本站和邻站状态时打开。</w:t>
            </w:r>
          </w:p>
        </w:tc>
      </w:tr>
    </w:tbl>
    <w:p w14:paraId="4B2CAAF2">
      <w:pPr>
        <w:jc w:val="center"/>
      </w:pPr>
      <w:r>
        <w:drawing>
          <wp:inline distT="0" distB="0" distL="114300" distR="114300">
            <wp:extent cx="5943600" cy="3714750"/>
            <wp:effectExtent l="0" t="0" r="0" b="190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9B75">
      <w:pPr>
        <w:spacing w:after="120" w:line="283" w:lineRule="auto"/>
        <w:jc w:val="center"/>
      </w:pPr>
      <w:r>
        <w:t>图 3 设备详情正常状态（界面示例）</w:t>
      </w:r>
    </w:p>
    <w:p w14:paraId="4690446C">
      <w:pPr>
        <w:jc w:val="center"/>
      </w:pPr>
      <w:r>
        <w:drawing>
          <wp:inline distT="0" distB="0" distL="114300" distR="114300">
            <wp:extent cx="5943600" cy="2839085"/>
            <wp:effectExtent l="0" t="0" r="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E560">
      <w:pPr>
        <w:jc w:val="center"/>
      </w:pPr>
      <w:r>
        <w:t>图 4 设备详情故障状态局部（界面示例）</w:t>
      </w:r>
    </w:p>
    <w:p w14:paraId="1478E780">
      <w:pPr>
        <w:pStyle w:val="3"/>
        <w:bidi w:val="0"/>
      </w:pPr>
      <w:r>
        <w:rPr>
          <w:rFonts w:ascii="微软雅黑" w:hAnsi="微软雅黑" w:eastAsia="微软雅黑"/>
        </w:rPr>
        <w:t>4 告警处理</w:t>
      </w:r>
    </w:p>
    <w:p w14:paraId="1D05236C">
      <w:pPr>
        <w:pStyle w:val="4"/>
        <w:bidi w:val="0"/>
      </w:pPr>
      <w:r>
        <w:rPr>
          <w:rFonts w:ascii="微软雅黑" w:hAnsi="微软雅黑" w:eastAsia="微软雅黑"/>
        </w:rPr>
        <w:t>处理当前告警</w:t>
      </w:r>
    </w:p>
    <w:p w14:paraId="205EFF7F">
      <w:pPr>
        <w:pStyle w:val="14"/>
        <w:numPr>
          <w:ilvl w:val="0"/>
          <w:numId w:val="10"/>
        </w:numPr>
        <w:spacing w:after="80"/>
      </w:pPr>
      <w:r>
        <w:rPr>
          <w:rFonts w:ascii="微软雅黑" w:hAnsi="微软雅黑" w:eastAsia="微软雅黑"/>
          <w:color w:val="152033"/>
          <w:sz w:val="21"/>
        </w:rPr>
        <w:t>点击顶部“当前告警”进入当前告警列表。</w:t>
      </w:r>
    </w:p>
    <w:p w14:paraId="1ACCD3A8">
      <w:pPr>
        <w:pStyle w:val="14"/>
        <w:numPr>
          <w:ilvl w:val="0"/>
          <w:numId w:val="10"/>
        </w:numPr>
        <w:spacing w:after="80"/>
      </w:pPr>
      <w:r>
        <w:rPr>
          <w:rFonts w:ascii="微软雅黑" w:hAnsi="微软雅黑" w:eastAsia="微软雅黑"/>
          <w:color w:val="152033"/>
          <w:sz w:val="21"/>
        </w:rPr>
        <w:t>按系统、设备或告警含义筛选需要处理的告警。</w:t>
      </w:r>
    </w:p>
    <w:p w14:paraId="43B13030">
      <w:pPr>
        <w:pStyle w:val="14"/>
        <w:numPr>
          <w:ilvl w:val="0"/>
          <w:numId w:val="10"/>
        </w:numPr>
        <w:spacing w:after="80"/>
      </w:pPr>
      <w:r>
        <w:rPr>
          <w:rFonts w:ascii="微软雅黑" w:hAnsi="微软雅黑" w:eastAsia="微软雅黑"/>
          <w:color w:val="152033"/>
          <w:sz w:val="21"/>
        </w:rPr>
        <w:t>核对设备 ID、设备名称、告警码、告警含义和起始时间。</w:t>
      </w:r>
    </w:p>
    <w:p w14:paraId="41053C1D">
      <w:pPr>
        <w:pStyle w:val="14"/>
        <w:numPr>
          <w:ilvl w:val="0"/>
          <w:numId w:val="10"/>
        </w:numPr>
        <w:spacing w:after="80"/>
      </w:pPr>
      <w:r>
        <w:rPr>
          <w:rFonts w:ascii="微软雅黑" w:hAnsi="微软雅黑" w:eastAsia="微软雅黑"/>
          <w:color w:val="152033"/>
          <w:sz w:val="21"/>
        </w:rPr>
        <w:t>确认已知晓并已按现场流程处理后，点击“确认”。</w:t>
      </w:r>
    </w:p>
    <w:p w14:paraId="27497343">
      <w:pPr>
        <w:pStyle w:val="14"/>
        <w:numPr>
          <w:ilvl w:val="0"/>
          <w:numId w:val="10"/>
        </w:numPr>
        <w:spacing w:after="80"/>
      </w:pPr>
      <w:r>
        <w:rPr>
          <w:rFonts w:ascii="微软雅黑" w:hAnsi="微软雅黑" w:eastAsia="微软雅黑"/>
          <w:color w:val="152033"/>
          <w:sz w:val="21"/>
        </w:rPr>
        <w:t>告警确认只表示人员已知晓，不表示设备故障已经恢复。</w:t>
      </w:r>
    </w:p>
    <w:p w14:paraId="524A1D55">
      <w:pPr>
        <w:jc w:val="center"/>
      </w:pPr>
      <w:r>
        <w:rPr>
          <w:rFonts w:ascii="微软雅黑" w:hAnsi="微软雅黑" w:eastAsia="微软雅黑"/>
        </w:rPr>
        <w:drawing>
          <wp:inline distT="0" distB="0" distL="114300" distR="114300">
            <wp:extent cx="5943600" cy="3714750"/>
            <wp:effectExtent l="0" t="0" r="1016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88EF">
      <w:pPr>
        <w:spacing w:after="120" w:line="283" w:lineRule="auto"/>
        <w:jc w:val="center"/>
      </w:pPr>
      <w:r>
        <w:t>图 5 当前告警列表（界面示例）</w:t>
      </w:r>
    </w:p>
    <w:tbl>
      <w:tblPr>
        <w:tblStyle w:val="32"/>
        <w:tblW w:w="9288" w:type="dxa"/>
        <w:tblInd w:w="120" w:type="dxa"/>
        <w:tblBorders>
          <w:top w:val="single" w:color="F0C36A" w:sz="4" w:space="0"/>
          <w:left w:val="single" w:color="F0C36A" w:sz="4" w:space="0"/>
          <w:bottom w:val="single" w:color="F0C36A" w:sz="4" w:space="0"/>
          <w:right w:val="single" w:color="F0C36A" w:sz="4" w:space="0"/>
          <w:insideH w:val="single" w:color="F0C36A" w:sz="4" w:space="0"/>
          <w:insideV w:val="single" w:color="F0C36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8E4B87F">
        <w:tc>
          <w:tcPr>
            <w:tcW w:w="9288" w:type="dxa"/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A0F2A">
            <w:pPr>
              <w:spacing w:after="0"/>
            </w:pPr>
            <w:r>
              <w:rPr>
                <w:rFonts w:ascii="Calibri" w:hAnsi="Calibri" w:eastAsia="微软雅黑"/>
                <w:b/>
                <w:color w:val="7A4B00"/>
                <w:sz w:val="20"/>
              </w:rPr>
              <w:t>告警处理原则：</w:t>
            </w:r>
            <w:r>
              <w:rPr>
                <w:rFonts w:ascii="Calibri" w:hAnsi="Calibri" w:eastAsia="微软雅黑"/>
                <w:color w:val="7A4B00"/>
                <w:sz w:val="20"/>
              </w:rPr>
              <w:t>通信中断、联锁相关异常、远程控制相关异常应按现场规定升级处理。不要为了消除声音而直接确认未核实告警。</w:t>
            </w:r>
          </w:p>
        </w:tc>
      </w:tr>
    </w:tbl>
    <w:p w14:paraId="5B07D943">
      <w:pPr>
        <w:pStyle w:val="4"/>
      </w:pPr>
      <w:r>
        <w:t>理解告警提醒</w:t>
      </w:r>
    </w:p>
    <w:p w14:paraId="730EBF30">
      <w:r>
        <w:t>设备出现当前告警时，页面顶部会出现明显提醒，设备总览中的相关设备会变为告警颜色，当前告警入口会显示数量。</w:t>
      </w:r>
    </w:p>
    <w:p w14:paraId="49123D81">
      <w:pPr>
        <w:pStyle w:val="14"/>
        <w:numPr>
          <w:ilvl w:val="0"/>
          <w:numId w:val="11"/>
        </w:numPr>
      </w:pPr>
      <w:r>
        <w:t>点击“确认告警”只表示值守人员已经知晓，可停止本次声音提醒，不代表现场故障已经恢复。</w:t>
      </w:r>
    </w:p>
    <w:p w14:paraId="2AFED506">
      <w:pPr>
        <w:pStyle w:val="14"/>
        <w:numPr>
          <w:ilvl w:val="0"/>
          <w:numId w:val="11"/>
        </w:numPr>
      </w:pPr>
      <w:r>
        <w:t>如果新的告警出现，或原有告警状态发生变化，系统会再次提醒。</w:t>
      </w:r>
    </w:p>
    <w:p w14:paraId="55E89B12">
      <w:pPr>
        <w:pStyle w:val="14"/>
        <w:numPr>
          <w:ilvl w:val="0"/>
          <w:numId w:val="11"/>
        </w:numPr>
      </w:pPr>
      <w:r>
        <w:t>声音开关用于临时关闭或开启声音提醒，交接班前应确认声音状态符合现场要求。</w:t>
      </w:r>
    </w:p>
    <w:p w14:paraId="52913BB0">
      <w:pPr>
        <w:pStyle w:val="14"/>
        <w:numPr>
          <w:ilvl w:val="0"/>
          <w:numId w:val="11"/>
        </w:numPr>
      </w:pPr>
      <w:r>
        <w:t>处理告警时应记录设备名称、告警码、发生时间和现场处理结果。</w:t>
      </w:r>
    </w:p>
    <w:p w14:paraId="2C63DFF1">
      <w:pPr>
        <w:pStyle w:val="3"/>
        <w:bidi w:val="0"/>
      </w:pPr>
      <w:r>
        <w:rPr>
          <w:rFonts w:ascii="微软雅黑" w:hAnsi="微软雅黑" w:eastAsia="微软雅黑"/>
        </w:rPr>
        <w:t>5 记录查询</w:t>
      </w:r>
    </w:p>
    <w:p w14:paraId="519FE610">
      <w:pPr>
        <w:pStyle w:val="4"/>
        <w:bidi w:val="0"/>
      </w:pPr>
      <w:r>
        <w:rPr>
          <w:rFonts w:ascii="微软雅黑" w:hAnsi="微软雅黑" w:eastAsia="微软雅黑"/>
        </w:rPr>
        <w:t>历史告警、继电器动作和用户操作</w:t>
      </w:r>
    </w:p>
    <w:p w14:paraId="76998970">
      <w:pPr>
        <w:pStyle w:val="14"/>
        <w:numPr>
          <w:ilvl w:val="0"/>
          <w:numId w:val="12"/>
        </w:numPr>
        <w:spacing w:after="80"/>
      </w:pPr>
      <w:r>
        <w:rPr>
          <w:rFonts w:ascii="微软雅黑" w:hAnsi="微软雅黑" w:eastAsia="微软雅黑"/>
          <w:color w:val="152033"/>
          <w:sz w:val="21"/>
        </w:rPr>
        <w:t>进入“记录查询”，先选择 BT 或 SY 系统。</w:t>
      </w:r>
    </w:p>
    <w:p w14:paraId="510B1FB1">
      <w:pPr>
        <w:pStyle w:val="14"/>
        <w:numPr>
          <w:ilvl w:val="0"/>
          <w:numId w:val="12"/>
        </w:numPr>
        <w:spacing w:after="80"/>
      </w:pPr>
      <w:r>
        <w:rPr>
          <w:rFonts w:ascii="微软雅黑" w:hAnsi="微软雅黑" w:eastAsia="微软雅黑"/>
          <w:color w:val="152033"/>
          <w:sz w:val="21"/>
        </w:rPr>
        <w:t>设置时间范围、线路、设备、告警码和确认状态。默认可先使用最近 7 天。</w:t>
      </w:r>
    </w:p>
    <w:p w14:paraId="7D6F99BF">
      <w:pPr>
        <w:pStyle w:val="14"/>
        <w:numPr>
          <w:ilvl w:val="0"/>
          <w:numId w:val="12"/>
        </w:numPr>
        <w:spacing w:after="80"/>
      </w:pPr>
      <w:r>
        <w:rPr>
          <w:rFonts w:ascii="微软雅黑" w:hAnsi="微软雅黑" w:eastAsia="微软雅黑"/>
          <w:color w:val="152033"/>
          <w:sz w:val="21"/>
        </w:rPr>
        <w:t>点击“查询”刷新历史告警、继电器动作和用户操作记录。</w:t>
      </w:r>
    </w:p>
    <w:p w14:paraId="7EB81927">
      <w:pPr>
        <w:pStyle w:val="14"/>
        <w:numPr>
          <w:ilvl w:val="0"/>
          <w:numId w:val="12"/>
        </w:numPr>
        <w:spacing w:after="80"/>
      </w:pPr>
      <w:r>
        <w:rPr>
          <w:rFonts w:ascii="微软雅黑" w:hAnsi="微软雅黑" w:eastAsia="微软雅黑"/>
          <w:color w:val="152033"/>
          <w:sz w:val="21"/>
        </w:rPr>
        <w:t>需要复盘时，重点查看告警开始/结束时间、持续时长、继电器动作时间和用户操作时间是否一致。</w:t>
      </w:r>
    </w:p>
    <w:p w14:paraId="6BDE1265">
      <w:pPr>
        <w:pStyle w:val="14"/>
        <w:numPr>
          <w:ilvl w:val="0"/>
          <w:numId w:val="12"/>
        </w:numPr>
        <w:spacing w:after="80"/>
      </w:pPr>
      <w:r>
        <w:rPr>
          <w:rFonts w:ascii="微软雅黑" w:hAnsi="微软雅黑" w:eastAsia="微软雅黑"/>
          <w:color w:val="152033"/>
          <w:sz w:val="21"/>
        </w:rPr>
        <w:t>记录较多时使用分页控件切换页码或调整每页条数。</w:t>
      </w:r>
    </w:p>
    <w:p w14:paraId="01DA901A">
      <w:pPr>
        <w:jc w:val="center"/>
      </w:pPr>
      <w:r>
        <w:rPr>
          <w:rFonts w:ascii="微软雅黑" w:hAnsi="微软雅黑" w:eastAsia="微软雅黑"/>
        </w:rPr>
        <w:drawing>
          <wp:inline distT="0" distB="0" distL="114300" distR="114300">
            <wp:extent cx="5943600" cy="3714750"/>
            <wp:effectExtent l="0" t="0" r="10160" b="228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63CA">
      <w:pPr>
        <w:spacing w:after="120" w:line="283" w:lineRule="auto"/>
        <w:jc w:val="center"/>
      </w:pPr>
      <w:r>
        <w:t>图 6 记录查询（界面示例）</w:t>
      </w:r>
    </w:p>
    <w:tbl>
      <w:tblPr>
        <w:tblStyle w:val="32"/>
        <w:tblW w:w="9288" w:type="dxa"/>
        <w:tblInd w:w="120" w:type="dxa"/>
        <w:tblBorders>
          <w:top w:val="single" w:color="D7E0EC" w:sz="4" w:space="0"/>
          <w:left w:val="single" w:color="D7E0EC" w:sz="4" w:space="0"/>
          <w:bottom w:val="single" w:color="D7E0EC" w:sz="4" w:space="0"/>
          <w:right w:val="single" w:color="D7E0EC" w:sz="4" w:space="0"/>
          <w:insideH w:val="single" w:color="D7E0EC" w:sz="4" w:space="0"/>
          <w:insideV w:val="single" w:color="D7E0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1F74180"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496FF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记录类型</w:t>
            </w:r>
          </w:p>
        </w:tc>
        <w:tc>
          <w:tcPr>
            <w:tcW w:w="53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5DF9F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主要字段</w:t>
            </w:r>
          </w:p>
        </w:tc>
        <w:tc>
          <w:tcPr>
            <w:tcW w:w="201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9BE5F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典型用途</w:t>
            </w:r>
          </w:p>
        </w:tc>
      </w:tr>
      <w:tr w14:paraId="04D189F6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3D325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历史告警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B3C1B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设备、告警码、告警含义、开始/结束时间、持续时长、确认状态。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C2971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故障追踪、交接班、统计分析。</w:t>
            </w:r>
          </w:p>
        </w:tc>
      </w:tr>
      <w:tr w14:paraId="226BD3CC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2204D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继电器动作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49CF5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设备、继电器、动作、时间。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82CE7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分析设备状态变化和动作顺序。</w:t>
            </w:r>
          </w:p>
        </w:tc>
      </w:tr>
      <w:tr w14:paraId="149EB60E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C04BD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用户操作记录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5EA82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设备、操作码、操作名称、用户名、操作时间。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DFAD1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追溯人工操作和系统设置变更。</w:t>
            </w:r>
          </w:p>
        </w:tc>
      </w:tr>
    </w:tbl>
    <w:p w14:paraId="23CFD4A4">
      <w:pPr>
        <w:pStyle w:val="4"/>
      </w:pPr>
      <w:r>
        <w:t>导出记录</w:t>
      </w:r>
    </w:p>
    <w:p w14:paraId="04573AFB">
      <w:r>
        <w:t>历史告警、继电器动作和用户操作记录可按筛选条件导出。导出前应先确认时间范围、设备、告警码和确认状态，避免导出无关数据。</w:t>
      </w:r>
    </w:p>
    <w:p w14:paraId="45A427A5">
      <w:pPr>
        <w:pStyle w:val="14"/>
        <w:numPr>
          <w:ilvl w:val="0"/>
          <w:numId w:val="13"/>
        </w:numPr>
      </w:pPr>
      <w:r>
        <w:t>记录量较少时可选择 xlsx 格式，便于使用表格软件统计。</w:t>
      </w:r>
    </w:p>
    <w:p w14:paraId="4173D90E">
      <w:pPr>
        <w:pStyle w:val="14"/>
        <w:numPr>
          <w:ilvl w:val="0"/>
          <w:numId w:val="13"/>
        </w:numPr>
      </w:pPr>
      <w:r>
        <w:t>记录量很大时建议选择 csv 格式，避免表格软件打开缓慢或超过行数限制。</w:t>
      </w:r>
    </w:p>
    <w:p w14:paraId="1E9BC9E5">
      <w:pPr>
        <w:pStyle w:val="14"/>
        <w:numPr>
          <w:ilvl w:val="0"/>
          <w:numId w:val="13"/>
        </w:numPr>
      </w:pPr>
      <w:r>
        <w:t>导出文件名建议包含系统类型、日期、线路和记录类型，便于后续归档。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8189130">
        <w:trPr>
          <w:jc w:val="center"/>
        </w:trPr>
        <w:tc>
          <w:tcPr>
            <w:tcW w:w="4680" w:type="dxa"/>
            <w:shd w:val="clear" w:color="auto" w:fill="EAF2F8"/>
            <w:vAlign w:val="center"/>
          </w:tcPr>
          <w:p w14:paraId="769DA913">
            <w:r>
              <w:rPr>
                <w:b/>
                <w:sz w:val="18"/>
              </w:rPr>
              <w:t>参考控件</w:t>
            </w:r>
          </w:p>
        </w:tc>
        <w:tc>
          <w:tcPr>
            <w:tcW w:w="4680" w:type="dxa"/>
            <w:shd w:val="clear" w:color="auto" w:fill="EAF2F8"/>
            <w:vAlign w:val="center"/>
          </w:tcPr>
          <w:p w14:paraId="67212F1E">
            <w:r>
              <w:rPr>
                <w:b/>
                <w:sz w:val="18"/>
              </w:rPr>
              <w:t>用途</w:t>
            </w:r>
          </w:p>
        </w:tc>
      </w:tr>
      <w:tr w14:paraId="41667ED1">
        <w:trPr>
          <w:jc w:val="center"/>
        </w:trPr>
        <w:tc>
          <w:tcPr>
            <w:tcW w:w="4680" w:type="dxa"/>
            <w:vAlign w:val="center"/>
          </w:tcPr>
          <w:p w14:paraId="6675E6A9">
            <w:pPr>
              <w:jc w:val="center"/>
            </w:pPr>
            <w:r>
              <w:drawing>
                <wp:inline distT="0" distB="0" distL="114300" distR="114300">
                  <wp:extent cx="594360" cy="473075"/>
                  <wp:effectExtent l="0" t="0" r="15240" b="952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473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vAlign w:val="center"/>
          </w:tcPr>
          <w:p w14:paraId="0567DF45">
            <w:r>
              <w:rPr>
                <w:b w:val="0"/>
                <w:sz w:val="18"/>
              </w:rPr>
              <w:t>进入导出页面。</w:t>
            </w:r>
          </w:p>
        </w:tc>
      </w:tr>
      <w:tr w14:paraId="214BA34B">
        <w:trPr>
          <w:jc w:val="center"/>
        </w:trPr>
        <w:tc>
          <w:tcPr>
            <w:tcW w:w="4680" w:type="dxa"/>
            <w:vAlign w:val="center"/>
          </w:tcPr>
          <w:p w14:paraId="66E965B5">
            <w:pPr>
              <w:jc w:val="center"/>
            </w:pPr>
            <w:r>
              <w:drawing>
                <wp:inline distT="0" distB="0" distL="114300" distR="114300">
                  <wp:extent cx="822960" cy="1139190"/>
                  <wp:effectExtent l="0" t="0" r="15240" b="381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139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vAlign w:val="center"/>
          </w:tcPr>
          <w:p w14:paraId="060D863C">
            <w:r>
              <w:rPr>
                <w:b w:val="0"/>
                <w:sz w:val="18"/>
              </w:rPr>
              <w:t>选择导出格式。</w:t>
            </w:r>
          </w:p>
        </w:tc>
      </w:tr>
    </w:tbl>
    <w:p w14:paraId="73FC35CC">
      <w:pPr>
        <w:pStyle w:val="4"/>
      </w:pPr>
      <w:r>
        <w:t>删除记录</w:t>
      </w:r>
    </w:p>
    <w:p w14:paraId="41EC7547">
      <w:r>
        <w:t>删除记录属于维护动作。执行前应先完成导出归档，并确认选中的记录范围。默认删除会进入确认页面；强制删除只适用于授权维护场景，不作为日常处理方式。</w:t>
      </w:r>
    </w:p>
    <w:p w14:paraId="19473751">
      <w:pPr>
        <w:pStyle w:val="14"/>
        <w:numPr>
          <w:ilvl w:val="0"/>
          <w:numId w:val="14"/>
        </w:numPr>
      </w:pPr>
      <w:r>
        <w:t>只删除已经确认不再需要保留的记录。</w:t>
      </w:r>
    </w:p>
    <w:p w14:paraId="08303EE3">
      <w:pPr>
        <w:pStyle w:val="14"/>
        <w:numPr>
          <w:ilvl w:val="0"/>
          <w:numId w:val="14"/>
        </w:numPr>
      </w:pPr>
      <w:r>
        <w:t>批量选择前先核对筛选条件，避免误选其他设备或日期的记录。</w:t>
      </w:r>
    </w:p>
    <w:p w14:paraId="03229AF9">
      <w:pPr>
        <w:pStyle w:val="14"/>
        <w:numPr>
          <w:ilvl w:val="0"/>
          <w:numId w:val="14"/>
        </w:numPr>
      </w:pPr>
      <w:r>
        <w:t>删除后检查用户操作记录，确认系统保留了维护痕迹。</w:t>
      </w:r>
    </w:p>
    <w:p w14:paraId="4C3B316E">
      <w:pPr>
        <w:pStyle w:val="3"/>
        <w:bidi w:val="0"/>
      </w:pPr>
      <w:r>
        <w:rPr>
          <w:rFonts w:ascii="微软雅黑" w:hAnsi="微软雅黑" w:eastAsia="微软雅黑"/>
        </w:rPr>
        <w:t>6 远程控制</w:t>
      </w:r>
    </w:p>
    <w:p w14:paraId="0E09D542">
      <w:pPr>
        <w:pStyle w:val="4"/>
        <w:bidi w:val="0"/>
      </w:pPr>
      <w:r>
        <w:rPr>
          <w:rFonts w:ascii="微软雅黑" w:hAnsi="微软雅黑" w:eastAsia="微软雅黑"/>
        </w:rPr>
        <w:t>发送远程命令</w:t>
      </w:r>
    </w:p>
    <w:tbl>
      <w:tblPr>
        <w:tblStyle w:val="32"/>
        <w:tblW w:w="9288" w:type="dxa"/>
        <w:tblInd w:w="120" w:type="dxa"/>
        <w:tblBorders>
          <w:top w:val="single" w:color="F0C36A" w:sz="4" w:space="0"/>
          <w:left w:val="single" w:color="F0C36A" w:sz="4" w:space="0"/>
          <w:bottom w:val="single" w:color="F0C36A" w:sz="4" w:space="0"/>
          <w:right w:val="single" w:color="F0C36A" w:sz="4" w:space="0"/>
          <w:insideH w:val="single" w:color="F0C36A" w:sz="4" w:space="0"/>
          <w:insideV w:val="single" w:color="F0C36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64B1A26">
        <w:tc>
          <w:tcPr>
            <w:tcW w:w="9288" w:type="dxa"/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F5EA1">
            <w:pPr>
              <w:spacing w:after="0"/>
            </w:pPr>
            <w:r>
              <w:rPr>
                <w:rFonts w:ascii="Calibri" w:hAnsi="Calibri" w:eastAsia="微软雅黑"/>
                <w:b/>
                <w:color w:val="7A4B00"/>
                <w:sz w:val="20"/>
              </w:rPr>
              <w:t>高风险操作：</w:t>
            </w:r>
            <w:r>
              <w:rPr>
                <w:rFonts w:ascii="Calibri" w:hAnsi="Calibri" w:eastAsia="微软雅黑"/>
                <w:color w:val="7A4B00"/>
                <w:sz w:val="20"/>
              </w:rPr>
              <w:t>远程控制会影响现场设备状态。执行前必须确认设备、方向、邻站、当前告警和现场调度要求。本文档不展示固定授权口令，实际按现场授权口令验证。</w:t>
            </w:r>
          </w:p>
        </w:tc>
      </w:tr>
    </w:tbl>
    <w:p w14:paraId="5BEC627C">
      <w:pPr>
        <w:pStyle w:val="14"/>
        <w:numPr>
          <w:ilvl w:val="0"/>
          <w:numId w:val="15"/>
        </w:numPr>
        <w:spacing w:after="80"/>
      </w:pPr>
      <w:r>
        <w:rPr>
          <w:rFonts w:ascii="微软雅黑" w:hAnsi="微软雅黑" w:eastAsia="微软雅黑"/>
          <w:color w:val="152033"/>
          <w:sz w:val="21"/>
        </w:rPr>
        <w:t>在设备详情页点击“发送远程控制命令”，打开独立控制窗口。</w:t>
      </w:r>
    </w:p>
    <w:p w14:paraId="609EDA93">
      <w:pPr>
        <w:pStyle w:val="14"/>
        <w:numPr>
          <w:ilvl w:val="0"/>
          <w:numId w:val="15"/>
        </w:numPr>
        <w:spacing w:after="80"/>
      </w:pPr>
      <w:r>
        <w:rPr>
          <w:rFonts w:ascii="微软雅黑" w:hAnsi="微软雅黑" w:eastAsia="微软雅黑"/>
          <w:color w:val="152033"/>
          <w:sz w:val="21"/>
        </w:rPr>
        <w:t>按现场授权要求完成二次验证。验证通过前不显示或不能执行命令操作。</w:t>
      </w:r>
    </w:p>
    <w:p w14:paraId="4AD6D888">
      <w:pPr>
        <w:pStyle w:val="14"/>
        <w:numPr>
          <w:ilvl w:val="0"/>
          <w:numId w:val="15"/>
        </w:numPr>
        <w:spacing w:after="80"/>
      </w:pPr>
      <w:r>
        <w:rPr>
          <w:rFonts w:ascii="微软雅黑" w:hAnsi="微软雅黑" w:eastAsia="微软雅黑"/>
          <w:color w:val="152033"/>
          <w:sz w:val="21"/>
        </w:rPr>
        <w:t>选择本站方向和模式，例如一方向/二方向、强制电缆/强制光缆/自动。</w:t>
      </w:r>
    </w:p>
    <w:p w14:paraId="6710FEBB">
      <w:pPr>
        <w:pStyle w:val="14"/>
        <w:numPr>
          <w:ilvl w:val="0"/>
          <w:numId w:val="15"/>
        </w:numPr>
        <w:spacing w:after="80"/>
      </w:pPr>
      <w:r>
        <w:rPr>
          <w:rFonts w:ascii="微软雅黑" w:hAnsi="微软雅黑" w:eastAsia="微软雅黑"/>
          <w:color w:val="152033"/>
          <w:sz w:val="21"/>
        </w:rPr>
        <w:t>确认目标为本站或邻站后再点击发送。</w:t>
      </w:r>
    </w:p>
    <w:p w14:paraId="7ED2E0B7">
      <w:pPr>
        <w:pStyle w:val="14"/>
        <w:numPr>
          <w:ilvl w:val="0"/>
          <w:numId w:val="15"/>
        </w:numPr>
        <w:spacing w:after="80"/>
      </w:pPr>
      <w:r>
        <w:rPr>
          <w:rFonts w:ascii="微软雅黑" w:hAnsi="微软雅黑" w:eastAsia="微软雅黑"/>
          <w:color w:val="152033"/>
          <w:sz w:val="21"/>
        </w:rPr>
        <w:t>发送后查看页面提示、用户操作记录和设备状态变化，必要时联系现场人员确认。</w:t>
      </w:r>
    </w:p>
    <w:p w14:paraId="624E5F7D">
      <w:pPr>
        <w:jc w:val="center"/>
      </w:pPr>
      <w:r>
        <w:rPr>
          <w:rFonts w:ascii="微软雅黑" w:hAnsi="微软雅黑" w:eastAsia="微软雅黑"/>
        </w:rPr>
        <w:drawing>
          <wp:inline distT="0" distB="0" distL="114300" distR="114300">
            <wp:extent cx="5943600" cy="3714750"/>
            <wp:effectExtent l="0" t="0" r="1016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2DB9">
      <w:pPr>
        <w:spacing w:after="120" w:line="283" w:lineRule="auto"/>
        <w:jc w:val="center"/>
      </w:pPr>
      <w:r>
        <w:t>图 7 远程控制命令窗口（界面示例）</w:t>
      </w:r>
    </w:p>
    <w:tbl>
      <w:tblPr>
        <w:tblStyle w:val="32"/>
        <w:tblW w:w="9288" w:type="dxa"/>
        <w:tblInd w:w="120" w:type="dxa"/>
        <w:tblBorders>
          <w:top w:val="single" w:color="D7E0EC" w:sz="4" w:space="0"/>
          <w:left w:val="single" w:color="D7E0EC" w:sz="4" w:space="0"/>
          <w:bottom w:val="single" w:color="D7E0EC" w:sz="4" w:space="0"/>
          <w:right w:val="single" w:color="D7E0EC" w:sz="4" w:space="0"/>
          <w:insideH w:val="single" w:color="D7E0EC" w:sz="4" w:space="0"/>
          <w:insideV w:val="single" w:color="D7E0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053C3FB"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DD465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命令类别</w:t>
            </w:r>
          </w:p>
        </w:tc>
        <w:tc>
          <w:tcPr>
            <w:tcW w:w="44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50CD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说明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95AED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风险提示</w:t>
            </w:r>
          </w:p>
        </w:tc>
      </w:tr>
      <w:tr w14:paraId="7756E9DD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7F46E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模式切换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39806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将指定方向切换为强制电缆、强制光缆或自动等模式。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85B25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必须确认方向和目标设备，避免误切邻站。</w:t>
            </w:r>
          </w:p>
        </w:tc>
      </w:tr>
      <w:tr w14:paraId="43A55E3C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1480F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启动/停用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D4EA2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用于 SY 等设备的启动或停用操作。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0F526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需确认主备机关系和当前运行状态。</w:t>
            </w:r>
          </w:p>
        </w:tc>
      </w:tr>
      <w:tr w14:paraId="0CC96011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AE804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重启网管板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9FBD9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对当前网管板执行重启。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F18B2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会造成短时通信中断和告警变化。</w:t>
            </w:r>
          </w:p>
        </w:tc>
      </w:tr>
      <w:tr w14:paraId="5F0C9892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A300A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自定义命令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500AF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按授权输入十六进制命令字节。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454ED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仅供维护人员使用，普通操作不建议使用。</w:t>
            </w:r>
          </w:p>
        </w:tc>
      </w:tr>
    </w:tbl>
    <w:p w14:paraId="0C7BBD3A">
      <w:pPr>
        <w:pStyle w:val="3"/>
        <w:bidi w:val="0"/>
      </w:pPr>
      <w:r>
        <w:rPr>
          <w:rFonts w:ascii="微软雅黑" w:hAnsi="微软雅黑" w:eastAsia="微软雅黑"/>
        </w:rPr>
        <w:t>7 管理员功能</w:t>
      </w:r>
    </w:p>
    <w:p w14:paraId="1FF3C58D">
      <w:pPr>
        <w:pStyle w:val="4"/>
        <w:bidi w:val="0"/>
      </w:pPr>
      <w:r>
        <w:rPr>
          <w:rFonts w:ascii="微软雅黑" w:hAnsi="微软雅黑" w:eastAsia="微软雅黑"/>
        </w:rPr>
        <w:t>系统设置</w:t>
      </w:r>
    </w:p>
    <w:p w14:paraId="6C8B065A">
      <w:r>
        <w:rPr>
          <w:rFonts w:ascii="微软雅黑" w:hAnsi="微软雅黑" w:eastAsia="微软雅黑"/>
          <w:b w:val="0"/>
          <w:color w:val="152033"/>
          <w:sz w:val="22"/>
        </w:rPr>
        <w:t>系统设置页面用于维护 BT / SY 的常用运行参数。页面仅超级用户可见。保存参数时需要验证当前登录用户密码，保存后写入后端配置中心，业务逻辑在下一次请求或下一轮后台循环中读取新值。</w:t>
      </w:r>
    </w:p>
    <w:p w14:paraId="273804DE">
      <w:pPr>
        <w:jc w:val="center"/>
      </w:pPr>
      <w:r>
        <w:rPr>
          <w:rFonts w:ascii="微软雅黑" w:hAnsi="微软雅黑" w:eastAsia="微软雅黑"/>
        </w:rPr>
        <w:drawing>
          <wp:inline distT="0" distB="0" distL="114300" distR="114300">
            <wp:extent cx="5943600" cy="3714750"/>
            <wp:effectExtent l="0" t="0" r="10160" b="228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BC0E">
      <w:pPr>
        <w:spacing w:after="120" w:line="283" w:lineRule="auto"/>
        <w:jc w:val="center"/>
      </w:pPr>
      <w:r>
        <w:t>图 8 系统设置（界面示例）</w:t>
      </w:r>
    </w:p>
    <w:tbl>
      <w:tblPr>
        <w:tblStyle w:val="32"/>
        <w:tblW w:w="9288" w:type="dxa"/>
        <w:tblInd w:w="120" w:type="dxa"/>
        <w:tblBorders>
          <w:top w:val="single" w:color="D7E0EC" w:sz="4" w:space="0"/>
          <w:left w:val="single" w:color="D7E0EC" w:sz="4" w:space="0"/>
          <w:bottom w:val="single" w:color="D7E0EC" w:sz="4" w:space="0"/>
          <w:right w:val="single" w:color="D7E0EC" w:sz="4" w:space="0"/>
          <w:insideH w:val="single" w:color="D7E0EC" w:sz="4" w:space="0"/>
          <w:insideV w:val="single" w:color="D7E0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C1037F0"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7EE18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参数类别</w:t>
            </w:r>
          </w:p>
        </w:tc>
        <w:tc>
          <w:tcPr>
            <w:tcW w:w="44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0422E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说明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472B3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修改建议</w:t>
            </w:r>
          </w:p>
        </w:tc>
      </w:tr>
      <w:tr w14:paraId="668F8C74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0CBC8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运行参数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581ED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通信超时、告警延时等影响监控判断的参数。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F04F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按现场验收或维护要求调整。</w:t>
            </w:r>
          </w:p>
        </w:tc>
      </w:tr>
      <w:tr w14:paraId="4A521190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16E91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告警延时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ED4BD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按告警码配置延时秒数，避免瞬时抖动产生误报。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EA3B7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不要将关键告警延时设置过长。</w:t>
            </w:r>
          </w:p>
        </w:tc>
      </w:tr>
      <w:tr w14:paraId="348D9E4C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E518C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数据清理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5CE89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设置历史数据保留天数和自动导出。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CB0B3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导出测试通过后再启用自动清理策略。</w:t>
            </w:r>
          </w:p>
        </w:tc>
      </w:tr>
      <w:tr w14:paraId="7125A00F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666DC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权限参数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0F8F4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登录、令牌或管理权限相关的参数。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8D8A8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由系统管理员维护。</w:t>
            </w:r>
          </w:p>
        </w:tc>
      </w:tr>
      <w:tr w14:paraId="0284EBD6">
        <w:tblPrEx>
          <w:tblBorders>
            <w:top w:val="single" w:color="F0C36A" w:sz="4" w:space="0"/>
            <w:left w:val="single" w:color="F0C36A" w:sz="4" w:space="0"/>
            <w:bottom w:val="single" w:color="F0C36A" w:sz="4" w:space="0"/>
            <w:right w:val="single" w:color="F0C36A" w:sz="4" w:space="0"/>
            <w:insideH w:val="single" w:color="F0C36A" w:sz="4" w:space="0"/>
            <w:insideV w:val="single" w:color="F0C36A" w:sz="4" w:space="0"/>
          </w:tblBorders>
        </w:tblPrEx>
        <w:tc>
          <w:tcPr>
            <w:tcW w:w="9288" w:type="dxa"/>
            <w:gridSpan w:val="3"/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99FC5">
            <w:pPr>
              <w:spacing w:after="0"/>
            </w:pPr>
            <w:r>
              <w:rPr>
                <w:rFonts w:ascii="Calibri" w:hAnsi="Calibri" w:eastAsia="微软雅黑"/>
                <w:b/>
                <w:color w:val="7A4B00"/>
                <w:sz w:val="20"/>
              </w:rPr>
              <w:t>注意：</w:t>
            </w:r>
            <w:r>
              <w:rPr>
                <w:rFonts w:ascii="Calibri" w:hAnsi="Calibri" w:eastAsia="微软雅黑"/>
                <w:color w:val="7A4B00"/>
                <w:sz w:val="20"/>
              </w:rPr>
              <w:t>系统设置会影响全局运行行为。修改前应记录原值，修改后观察告警、记录查询和后台任务是否正常。</w:t>
            </w:r>
          </w:p>
        </w:tc>
      </w:tr>
    </w:tbl>
    <w:p w14:paraId="5964B820">
      <w:pPr>
        <w:pStyle w:val="4"/>
        <w:bidi w:val="0"/>
      </w:pPr>
      <w:r>
        <w:rPr>
          <w:rFonts w:ascii="微软雅黑" w:hAnsi="微软雅黑" w:eastAsia="微软雅黑"/>
        </w:rPr>
        <w:t>资料管理</w:t>
      </w:r>
    </w:p>
    <w:p w14:paraId="2AFEAD0B">
      <w:r>
        <w:rPr>
          <w:rFonts w:ascii="微软雅黑" w:hAnsi="微软雅黑" w:eastAsia="微软雅黑"/>
          <w:b w:val="0"/>
          <w:color w:val="152033"/>
          <w:sz w:val="22"/>
        </w:rPr>
        <w:t>帮助页面提供 FAQ、联系方式和文件管理。管理员可编辑 FAQ，上传面向现场的说明文档、模板或维护资料；普通用户可查看 FAQ 并下载已上传文件。</w:t>
      </w:r>
    </w:p>
    <w:p w14:paraId="5E1270AD">
      <w:pPr>
        <w:pStyle w:val="14"/>
        <w:numPr>
          <w:ilvl w:val="0"/>
          <w:numId w:val="16"/>
        </w:numPr>
        <w:spacing w:after="80"/>
      </w:pPr>
      <w:r>
        <w:rPr>
          <w:rFonts w:ascii="微软雅黑" w:hAnsi="微软雅黑" w:eastAsia="微软雅黑"/>
          <w:color w:val="152033"/>
          <w:sz w:val="21"/>
        </w:rPr>
        <w:t>进入顶部帮助入口，查看常见问题。</w:t>
      </w:r>
    </w:p>
    <w:p w14:paraId="753546FE">
      <w:pPr>
        <w:pStyle w:val="14"/>
        <w:numPr>
          <w:ilvl w:val="0"/>
          <w:numId w:val="16"/>
        </w:numPr>
        <w:spacing w:after="80"/>
      </w:pPr>
      <w:r>
        <w:rPr>
          <w:rFonts w:ascii="微软雅黑" w:hAnsi="微软雅黑" w:eastAsia="微软雅黑"/>
          <w:color w:val="152033"/>
          <w:sz w:val="21"/>
        </w:rPr>
        <w:t>管理员点击“编辑 FAQ”可新增、删除、排序或修改问题内容。</w:t>
      </w:r>
    </w:p>
    <w:p w14:paraId="2DB87088">
      <w:pPr>
        <w:pStyle w:val="14"/>
        <w:numPr>
          <w:ilvl w:val="0"/>
          <w:numId w:val="16"/>
        </w:numPr>
        <w:spacing w:after="80"/>
      </w:pPr>
      <w:r>
        <w:rPr>
          <w:rFonts w:ascii="微软雅黑" w:hAnsi="微软雅黑" w:eastAsia="微软雅黑"/>
          <w:color w:val="152033"/>
          <w:sz w:val="21"/>
        </w:rPr>
        <w:t>在“文件管理”中选择 BT 文件或 SY 文件，填写备注名称后上传文件。</w:t>
      </w:r>
    </w:p>
    <w:p w14:paraId="103FAF4D">
      <w:pPr>
        <w:pStyle w:val="14"/>
        <w:numPr>
          <w:ilvl w:val="0"/>
          <w:numId w:val="16"/>
        </w:numPr>
        <w:spacing w:after="80"/>
      </w:pPr>
      <w:r>
        <w:rPr>
          <w:rFonts w:ascii="微软雅黑" w:hAnsi="微软雅黑" w:eastAsia="微软雅黑"/>
          <w:color w:val="152033"/>
          <w:sz w:val="21"/>
        </w:rPr>
        <w:t>用户可点击“下载”获取已上传资料；管理员可删除过期或错误文件。</w:t>
      </w:r>
    </w:p>
    <w:p w14:paraId="46F62348">
      <w:pPr>
        <w:jc w:val="center"/>
      </w:pPr>
      <w:r>
        <w:rPr>
          <w:rFonts w:ascii="微软雅黑" w:hAnsi="微软雅黑" w:eastAsia="微软雅黑"/>
        </w:rPr>
        <w:drawing>
          <wp:inline distT="0" distB="0" distL="114300" distR="114300">
            <wp:extent cx="5943600" cy="3714750"/>
            <wp:effectExtent l="0" t="0" r="1016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462A">
      <w:pPr>
        <w:spacing w:after="120" w:line="283" w:lineRule="auto"/>
        <w:jc w:val="center"/>
      </w:pPr>
      <w:r>
        <w:t>图 9 帮助页面（界面示例）</w:t>
      </w:r>
    </w:p>
    <w:p w14:paraId="584DDEEB">
      <w:pPr>
        <w:pStyle w:val="3"/>
      </w:pPr>
      <w:r>
        <w:t>8 运维管理</w:t>
      </w:r>
    </w:p>
    <w:p w14:paraId="05ECFB02">
      <w:r>
        <w:t>运维管理用于客户管理员完成日常维护准备、资料发布、参数保存、记录归档和风险操作复核。本章说明前端页面中的运维类入口；BT 后台和 SY 后台的明细维护见后续独立章节。</w:t>
      </w:r>
    </w:p>
    <w:p w14:paraId="408B1864">
      <w:pPr>
        <w:pStyle w:val="4"/>
      </w:pPr>
      <w:r>
        <w:t>打开运维入口</w:t>
      </w:r>
    </w:p>
    <w:p w14:paraId="030D9A19">
      <w:r>
        <w:t>运维入口按账号权限显示。普通操作员主要使用监控、告警和记录查询页面；管理员可进入系统设置、帮助页面、文件管理页面和后台入口。</w:t>
      </w:r>
    </w:p>
    <w:p w14:paraId="73879D70">
      <w:pPr>
        <w:pStyle w:val="14"/>
        <w:numPr>
          <w:ilvl w:val="0"/>
          <w:numId w:val="17"/>
        </w:numPr>
      </w:pPr>
      <w:r>
        <w:t>用管理员账号登录系统。</w:t>
      </w:r>
    </w:p>
    <w:p w14:paraId="0E96C4CD">
      <w:pPr>
        <w:pStyle w:val="14"/>
        <w:numPr>
          <w:ilvl w:val="0"/>
          <w:numId w:val="17"/>
        </w:numPr>
      </w:pPr>
      <w:r>
        <w:t>在顶部菜单或页面入口打开系统设置、帮助页面、文件管理页面或后台管理入口。</w:t>
      </w:r>
    </w:p>
    <w:p w14:paraId="629F8CA4">
      <w:pPr>
        <w:pStyle w:val="14"/>
        <w:numPr>
          <w:ilvl w:val="0"/>
          <w:numId w:val="17"/>
        </w:numPr>
      </w:pPr>
      <w:r>
        <w:t>如果页面提示权限不足，联系超级用户开通对应角色后再操作。</w:t>
      </w:r>
    </w:p>
    <w:p w14:paraId="535C3451">
      <w:pPr>
        <w:pStyle w:val="14"/>
        <w:numPr>
          <w:ilvl w:val="0"/>
          <w:numId w:val="17"/>
        </w:numPr>
      </w:pPr>
      <w:r>
        <w:t>进入维护页面后，先确认当前系统类型为 BT 或 SY，再编辑对应资料。</w:t>
      </w:r>
    </w:p>
    <w:p w14:paraId="413E5BED">
      <w:pPr>
        <w:pStyle w:val="4"/>
      </w:pPr>
      <w:r>
        <w:t>维护系统参数</w:t>
      </w:r>
    </w:p>
    <w:p w14:paraId="429D920F">
      <w:r>
        <w:t>系统参数影响告警提示、声音提醒、导出任务、清理周期和页面显示范围。保存前应确认参数来源，保存后应回到监控页面核对实际效果。</w:t>
      </w:r>
    </w:p>
    <w:p w14:paraId="49825DFA">
      <w:pPr>
        <w:pStyle w:val="14"/>
        <w:numPr>
          <w:ilvl w:val="0"/>
          <w:numId w:val="18"/>
        </w:numPr>
      </w:pPr>
      <w:r>
        <w:t>调整参数前记录原值，便于需要时恢复。</w:t>
      </w:r>
    </w:p>
    <w:p w14:paraId="15A7B3B3">
      <w:pPr>
        <w:pStyle w:val="14"/>
        <w:numPr>
          <w:ilvl w:val="0"/>
          <w:numId w:val="18"/>
        </w:numPr>
      </w:pPr>
      <w:r>
        <w:t>修改参数后按页面提示输入当前账号密码完成保存。</w:t>
      </w:r>
    </w:p>
    <w:p w14:paraId="2737A926">
      <w:pPr>
        <w:pStyle w:val="14"/>
        <w:numPr>
          <w:ilvl w:val="0"/>
          <w:numId w:val="18"/>
        </w:numPr>
      </w:pPr>
      <w:r>
        <w:t>保存完成后刷新监控页面，确认设备列表、告警提示和声音状态正常。</w:t>
      </w:r>
    </w:p>
    <w:p w14:paraId="63D57D19">
      <w:pPr>
        <w:pStyle w:val="14"/>
        <w:numPr>
          <w:ilvl w:val="0"/>
          <w:numId w:val="18"/>
        </w:numPr>
      </w:pPr>
      <w:r>
        <w:t>涉及自动导出、自动清理或告警声音策略的调整，应先经过现场授权。</w:t>
      </w:r>
    </w:p>
    <w:p w14:paraId="6B0877FC">
      <w:pPr>
        <w:pStyle w:val="4"/>
      </w:pPr>
      <w:r>
        <w:t>发布帮助资料</w:t>
      </w:r>
    </w:p>
    <w:p w14:paraId="42071973">
      <w:r>
        <w:t>帮助页面用于发布 FAQ、操作说明、模板文件和维护资料。资料面向现场人员阅读，应使用清晰标题、明确版本和客户可识别的文件名。</w:t>
      </w:r>
    </w:p>
    <w:p w14:paraId="195EC7C1">
      <w:pPr>
        <w:pStyle w:val="14"/>
        <w:numPr>
          <w:ilvl w:val="0"/>
          <w:numId w:val="19"/>
        </w:numPr>
      </w:pPr>
      <w:r>
        <w:t>新增 FAQ 时，按“问题现象、处理方法、注意事项”的顺序填写。</w:t>
      </w:r>
    </w:p>
    <w:p w14:paraId="5A86B463">
      <w:pPr>
        <w:pStyle w:val="14"/>
        <w:numPr>
          <w:ilvl w:val="0"/>
          <w:numId w:val="19"/>
        </w:numPr>
      </w:pPr>
      <w:r>
        <w:t>上传文件前确认内容适合客户现场使用，不包含内部路径、临时账号或内部口令。</w:t>
      </w:r>
    </w:p>
    <w:p w14:paraId="79213DB5">
      <w:pPr>
        <w:pStyle w:val="14"/>
        <w:numPr>
          <w:ilvl w:val="0"/>
          <w:numId w:val="19"/>
        </w:numPr>
      </w:pPr>
      <w:r>
        <w:t>发布后打开帮助页面检查标题、下载入口和文件大小显示。</w:t>
      </w:r>
    </w:p>
    <w:p w14:paraId="53E54FDE">
      <w:pPr>
        <w:pStyle w:val="14"/>
        <w:numPr>
          <w:ilvl w:val="0"/>
          <w:numId w:val="19"/>
        </w:numPr>
      </w:pPr>
      <w:r>
        <w:t>旧版本资料不再使用时，先确认现场无人依赖，再由授权管理员删除。</w:t>
      </w:r>
    </w:p>
    <w:p w14:paraId="486A7266">
      <w:pPr>
        <w:pStyle w:val="4"/>
      </w:pPr>
      <w:r>
        <w:t>管理账号权限</w:t>
      </w:r>
    </w:p>
    <w:p w14:paraId="066452EE">
      <w:r>
        <w:t>账号权限按最小授权原则分配。操作员用于日常值守，管理员用于资料维护和记录导出，超级用户用于系统参数和高风险动作。离岗或岗位调整后，应及时停用旧账号或变更角色。</w:t>
      </w:r>
    </w:p>
    <w:p w14:paraId="3272DB43">
      <w:pPr>
        <w:pStyle w:val="4"/>
      </w:pPr>
      <w:r>
        <w:t>归档运行记录</w:t>
      </w:r>
    </w:p>
    <w:p w14:paraId="1E77C0FD">
      <w:r>
        <w:t>运行记录包括当前告警、历史告警、继电器动作、用户操作记录、远程控制日志和后台维护记录。归档前应先筛选时间、线路、设备和事件类型，再导出查询结果。</w:t>
      </w:r>
    </w:p>
    <w:p w14:paraId="4AE88D54">
      <w:pPr>
        <w:pStyle w:val="14"/>
        <w:numPr>
          <w:ilvl w:val="0"/>
          <w:numId w:val="20"/>
        </w:numPr>
      </w:pPr>
      <w:r>
        <w:t>按班次、日期或故障事件确定查询范围。</w:t>
      </w:r>
    </w:p>
    <w:p w14:paraId="5C818924">
      <w:pPr>
        <w:pStyle w:val="14"/>
        <w:numPr>
          <w:ilvl w:val="0"/>
          <w:numId w:val="20"/>
        </w:numPr>
      </w:pPr>
      <w:r>
        <w:t>导出前检查筛选条件，避免导出无关记录。</w:t>
      </w:r>
    </w:p>
    <w:p w14:paraId="2EA597C6">
      <w:pPr>
        <w:pStyle w:val="14"/>
        <w:numPr>
          <w:ilvl w:val="0"/>
          <w:numId w:val="20"/>
        </w:numPr>
      </w:pPr>
      <w:r>
        <w:t>导出文件按现场资料制度保存，文件名建议包含系统类型、日期和记录类型。</w:t>
      </w:r>
    </w:p>
    <w:p w14:paraId="7CFE148A">
      <w:pPr>
        <w:pStyle w:val="14"/>
        <w:numPr>
          <w:ilvl w:val="0"/>
          <w:numId w:val="20"/>
        </w:numPr>
      </w:pPr>
      <w:r>
        <w:t>需要清理旧记录时，先完成归档，再由超级用户按现场授权流程执行。</w:t>
      </w:r>
    </w:p>
    <w:p w14:paraId="79D3F926">
      <w:pPr>
        <w:pStyle w:val="4"/>
      </w:pPr>
      <w:r>
        <w:t>执行维护复核</w:t>
      </w:r>
    </w:p>
    <w:p w14:paraId="782420D4">
      <w:r>
        <w:t>批量确认告警、强制删除、清空整表、远程命令和 BT 重连命令都属于高风险动作。说明书只描述入口、适用条件和确认要求，不建议把这些动作作为日常处理手段。</w:t>
      </w:r>
    </w:p>
    <w:p w14:paraId="386977DA">
      <w:pPr>
        <w:pStyle w:val="14"/>
        <w:numPr>
          <w:ilvl w:val="0"/>
          <w:numId w:val="21"/>
        </w:numPr>
      </w:pPr>
      <w:r>
        <w:t>执行前确认操作对象、影响范围和授权人员。</w:t>
      </w:r>
    </w:p>
    <w:p w14:paraId="54AE865E">
      <w:pPr>
        <w:pStyle w:val="14"/>
        <w:numPr>
          <w:ilvl w:val="0"/>
          <w:numId w:val="21"/>
        </w:numPr>
      </w:pPr>
      <w:r>
        <w:t>页面出现二次确认或口令验证时，按现场授权口令验证。</w:t>
      </w:r>
    </w:p>
    <w:p w14:paraId="76909379">
      <w:pPr>
        <w:pStyle w:val="14"/>
        <w:numPr>
          <w:ilvl w:val="0"/>
          <w:numId w:val="21"/>
        </w:numPr>
      </w:pPr>
      <w:r>
        <w:t>执行后查看告警列表、记录查询和用户操作记录，确认系统已留下可追溯记录。</w:t>
      </w:r>
    </w:p>
    <w:p w14:paraId="531A917D">
      <w:pPr>
        <w:pStyle w:val="14"/>
        <w:numPr>
          <w:ilvl w:val="0"/>
          <w:numId w:val="21"/>
        </w:numPr>
      </w:pPr>
      <w:r>
        <w:t>如果动作后设备状态未恢复，应按现场故障处理流程继续排查。</w:t>
      </w:r>
    </w:p>
    <w:p w14:paraId="09356034">
      <w:pPr>
        <w:pStyle w:val="4"/>
      </w:pPr>
      <w:r>
        <w:t>检查维护结果</w:t>
      </w:r>
    </w:p>
    <w:p w14:paraId="755F30CC">
      <w:r>
        <w:t>运维操作完成后，应通过前端页面和后台记录进行复核。复核重点包括页面是否正常刷新、告警状态是否符合现场实际、导出文件是否可打开、用户操作记录是否完整。</w:t>
      </w:r>
    </w:p>
    <w:p w14:paraId="4AC0B97B">
      <w:pPr>
        <w:pStyle w:val="3"/>
        <w:bidi w:val="0"/>
      </w:pPr>
      <w:r>
        <w:t>9 BT 后台管理</w:t>
      </w:r>
    </w:p>
    <w:p w14:paraId="562C5369">
      <w:pPr>
        <w:pStyle w:val="4"/>
        <w:bidi w:val="0"/>
      </w:pPr>
      <w:r>
        <w:rPr>
          <w:rFonts w:ascii="微软雅黑" w:hAnsi="微软雅黑" w:eastAsia="微软雅黑"/>
        </w:rPr>
        <w:t>进入 BT 后台</w:t>
      </w:r>
    </w:p>
    <w:p w14:paraId="63AC42EB">
      <w:pPr>
        <w:spacing w:after="120" w:line="283" w:lineRule="auto"/>
      </w:pPr>
      <w:r>
        <w:rPr>
          <w:rFonts w:ascii="微软雅黑" w:hAnsi="微软雅黑" w:eastAsia="微软雅黑"/>
          <w:color w:val="1F2937"/>
          <w:sz w:val="21"/>
        </w:rPr>
        <w:t>BT 后台面向客户管理员开放，用于维护 BT 设备资料、查看 BT 记录、导出 BT 数据和执行授权维护动作。进入后台前请确认当前账号具备后台权限，普通操作员日常只需使用前端页面。</w:t>
      </w:r>
    </w:p>
    <w:p w14:paraId="1E02FB16">
      <w:pPr>
        <w:spacing w:after="120" w:line="283" w:lineRule="auto"/>
      </w:pPr>
      <w:r>
        <w:rPr>
          <w:rFonts w:ascii="微软雅黑" w:hAnsi="微软雅黑" w:eastAsia="微软雅黑"/>
        </w:rPr>
        <w:t>本章节截图来自 Chrome 中打开的后台页面，使用示例数据展示。菜单名称、字段顺序和可见按钮以现场系统为准。</w:t>
      </w:r>
    </w:p>
    <w:p w14:paraId="6CEB5341">
      <w:pPr>
        <w:jc w:val="center"/>
      </w:pPr>
      <w:r>
        <w:rPr>
          <w:rFonts w:ascii="微软雅黑" w:hAnsi="微软雅黑" w:eastAsia="微软雅黑"/>
        </w:rPr>
        <w:drawing>
          <wp:inline distT="0" distB="0" distL="114300" distR="114300">
            <wp:extent cx="5943600" cy="3714750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F5FE">
      <w:pPr>
        <w:spacing w:before="40" w:after="120" w:line="283" w:lineRule="auto"/>
        <w:jc w:val="center"/>
      </w:pPr>
      <w:r>
        <w:t>图 10 BT 后台设备列表示例（界面示例）</w:t>
      </w:r>
    </w:p>
    <w:p w14:paraId="27D48F91">
      <w:pPr>
        <w:pStyle w:val="4"/>
        <w:bidi w:val="0"/>
      </w:pPr>
      <w:r>
        <w:rPr>
          <w:rFonts w:ascii="微软雅黑" w:hAnsi="微软雅黑" w:eastAsia="微软雅黑"/>
        </w:rPr>
        <w:t>维护 BT 基础数据</w:t>
      </w:r>
    </w:p>
    <w:p w14:paraId="272E6AF7">
      <w:pPr>
        <w:spacing w:after="120" w:line="283" w:lineRule="auto"/>
      </w:pPr>
      <w:r>
        <w:rPr>
          <w:rFonts w:ascii="微软雅黑" w:hAnsi="微软雅黑" w:eastAsia="微软雅黑"/>
          <w:color w:val="1F2937"/>
          <w:sz w:val="21"/>
        </w:rPr>
        <w:t>BT 基础数据用于支撑前端监控页面和记录归属。新增、编辑或删除前，应先确认现场台账一致，避免影响设备展示、告警归类和记录查询。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B932CAA">
        <w:trPr>
          <w:jc w:val="center"/>
        </w:trPr>
        <w:tc>
          <w:tcPr>
            <w:tcW w:w="1555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BCE605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对象</w:t>
            </w:r>
          </w:p>
        </w:tc>
        <w:tc>
          <w:tcPr>
            <w:tcW w:w="3715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130E2B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用途</w:t>
            </w:r>
          </w:p>
        </w:tc>
        <w:tc>
          <w:tcPr>
            <w:tcW w:w="3629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EB4CF9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操作提醒</w:t>
            </w:r>
          </w:p>
        </w:tc>
      </w:tr>
      <w:tr w14:paraId="434797EB">
        <w:trPr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BE8109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用户</w:t>
            </w:r>
          </w:p>
        </w:tc>
        <w:tc>
          <w:tcPr>
            <w:tcW w:w="3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B428A1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维护后台账号、角色权限、所属车间范围</w:t>
            </w:r>
          </w:p>
        </w:tc>
        <w:tc>
          <w:tcPr>
            <w:tcW w:w="36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C822B2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权限变更后请通知相关值班人员重新登录</w:t>
            </w:r>
          </w:p>
        </w:tc>
      </w:tr>
      <w:tr w14:paraId="6CB3EBBB">
        <w:trPr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A31DC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车间</w:t>
            </w:r>
          </w:p>
        </w:tc>
        <w:tc>
          <w:tcPr>
            <w:tcW w:w="3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64E485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维护组织范围，用于设备归属和用户权限范围</w:t>
            </w:r>
          </w:p>
        </w:tc>
        <w:tc>
          <w:tcPr>
            <w:tcW w:w="36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A4F099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名称应同现场管理口径保持一致</w:t>
            </w:r>
          </w:p>
        </w:tc>
      </w:tr>
      <w:tr w14:paraId="320F5FD5">
        <w:trPr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E09705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线路</w:t>
            </w:r>
          </w:p>
        </w:tc>
        <w:tc>
          <w:tcPr>
            <w:tcW w:w="3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792422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维护线路名称，用于设备筛选和记录筛选</w:t>
            </w:r>
          </w:p>
        </w:tc>
        <w:tc>
          <w:tcPr>
            <w:tcW w:w="36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3EBD2D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删除前先确认没有设备仍在使用</w:t>
            </w:r>
          </w:p>
        </w:tc>
      </w:tr>
      <w:tr w14:paraId="363CE55A">
        <w:trPr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304947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设备信息</w:t>
            </w:r>
          </w:p>
        </w:tc>
        <w:tc>
          <w:tcPr>
            <w:tcW w:w="3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333E6A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维护 BT 设备 ID、名称、IP、坐标和邻站参数</w:t>
            </w:r>
          </w:p>
        </w:tc>
        <w:tc>
          <w:tcPr>
            <w:tcW w:w="36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3693EA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设备 ID 保存后不建议随意调整</w:t>
            </w:r>
          </w:p>
        </w:tc>
      </w:tr>
      <w:tr w14:paraId="65A80297">
        <w:trPr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E9052A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FAQ</w:t>
            </w:r>
          </w:p>
        </w:tc>
        <w:tc>
          <w:tcPr>
            <w:tcW w:w="3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86D980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维护前端帮助页面的常见问题</w:t>
            </w:r>
          </w:p>
        </w:tc>
        <w:tc>
          <w:tcPr>
            <w:tcW w:w="36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836811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内容应采用客户可读表达</w:t>
            </w:r>
          </w:p>
        </w:tc>
      </w:tr>
      <w:tr w14:paraId="4328CD19">
        <w:trPr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3777F4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文件管理</w:t>
            </w:r>
          </w:p>
        </w:tc>
        <w:tc>
          <w:tcPr>
            <w:tcW w:w="3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6CDF95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上传、下载或删除说明资料、模板文件</w:t>
            </w:r>
          </w:p>
        </w:tc>
        <w:tc>
          <w:tcPr>
            <w:tcW w:w="36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759D4D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上传前确认文件不含无关敏感信息</w:t>
            </w:r>
          </w:p>
        </w:tc>
      </w:tr>
    </w:tbl>
    <w:p w14:paraId="295FB65E">
      <w:pPr>
        <w:pStyle w:val="4"/>
        <w:bidi w:val="0"/>
      </w:pPr>
      <w:r>
        <w:rPr>
          <w:rFonts w:ascii="微软雅黑" w:hAnsi="微软雅黑" w:eastAsia="微软雅黑"/>
        </w:rPr>
        <w:t>维护 BT 设备</w:t>
      </w:r>
    </w:p>
    <w:p w14:paraId="5894F6AE">
      <w:pPr>
        <w:spacing w:after="120" w:line="283" w:lineRule="auto"/>
      </w:pPr>
      <w:r>
        <w:rPr>
          <w:rFonts w:ascii="微软雅黑" w:hAnsi="微软雅黑" w:eastAsia="微软雅黑"/>
          <w:color w:val="1F2937"/>
          <w:sz w:val="21"/>
        </w:rPr>
        <w:t>BT 设备编辑页用于维护设备 ID、设备名称、IP 地址、X 坐标、Y 坐标、一方向邻站 ID、一方向邻站方向、二方向邻站 ID、二方向邻站方向、一方向启用、二方向启用、备注和过滤告警码。坐标会影响拓扑位置，邻站和方向启用会影响拓扑连线和方向状态展示。</w:t>
      </w:r>
    </w:p>
    <w:p w14:paraId="3CD9410B">
      <w:pPr>
        <w:jc w:val="center"/>
      </w:pPr>
      <w:r>
        <w:rPr>
          <w:rFonts w:ascii="微软雅黑" w:hAnsi="微软雅黑" w:eastAsia="微软雅黑"/>
        </w:rPr>
        <w:drawing>
          <wp:inline distT="0" distB="0" distL="114300" distR="114300">
            <wp:extent cx="5943600" cy="3714750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7F402">
      <w:pPr>
        <w:spacing w:before="40" w:after="120" w:line="283" w:lineRule="auto"/>
        <w:jc w:val="center"/>
      </w:pPr>
      <w:r>
        <w:t>图 11 BT 后台设备编辑页示例（界面示例）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9D62648">
        <w:trPr>
          <w:jc w:val="center"/>
        </w:trPr>
        <w:tc>
          <w:tcPr>
            <w:tcW w:w="1728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77C03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字段</w:t>
            </w:r>
          </w:p>
        </w:tc>
        <w:tc>
          <w:tcPr>
            <w:tcW w:w="3960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057A95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填写要求</w:t>
            </w:r>
          </w:p>
        </w:tc>
        <w:tc>
          <w:tcPr>
            <w:tcW w:w="3211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F8A9B4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影响范围</w:t>
            </w:r>
          </w:p>
        </w:tc>
      </w:tr>
      <w:tr w14:paraId="1BA189E0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E28B39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设备 ID</w:t>
            </w:r>
          </w:p>
        </w:tc>
        <w:tc>
          <w:tcPr>
            <w:tcW w:w="39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C444A1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使用现场约定编号，保持唯一</w:t>
            </w:r>
          </w:p>
        </w:tc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E1DF41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数据归属、记录查询、拓扑节点</w:t>
            </w:r>
          </w:p>
        </w:tc>
      </w:tr>
      <w:tr w14:paraId="3EC384CA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CAC817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设备名称</w:t>
            </w:r>
          </w:p>
        </w:tc>
        <w:tc>
          <w:tcPr>
            <w:tcW w:w="39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547847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使用值班人员可识别的站点或区间名称</w:t>
            </w:r>
          </w:p>
        </w:tc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294065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前端列表、告警提示</w:t>
            </w:r>
          </w:p>
        </w:tc>
      </w:tr>
      <w:tr w14:paraId="61A80643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C6DCB0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IP 地址</w:t>
            </w:r>
          </w:p>
        </w:tc>
        <w:tc>
          <w:tcPr>
            <w:tcW w:w="39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45FBC2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填写演示或现场授权地址</w:t>
            </w:r>
          </w:p>
        </w:tc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610056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通信状态、设备联机判断</w:t>
            </w:r>
          </w:p>
        </w:tc>
      </w:tr>
      <w:tr w14:paraId="04595172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F8ED5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坐标</w:t>
            </w:r>
          </w:p>
        </w:tc>
        <w:tc>
          <w:tcPr>
            <w:tcW w:w="39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ED29B4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按拓扑图位置填写 X、Y</w:t>
            </w:r>
          </w:p>
        </w:tc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246588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设备总览拓扑展示</w:t>
            </w:r>
          </w:p>
        </w:tc>
      </w:tr>
      <w:tr w14:paraId="090DA26A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2FB09A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一二方向邻站</w:t>
            </w:r>
          </w:p>
        </w:tc>
        <w:tc>
          <w:tcPr>
            <w:tcW w:w="39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F5DB38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按现场方向关系选择邻站和方向</w:t>
            </w:r>
          </w:p>
        </w:tc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D65FCC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拓扑连线、邻站信息</w:t>
            </w:r>
          </w:p>
        </w:tc>
      </w:tr>
      <w:tr w14:paraId="25F35E1C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D327A9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方向启用</w:t>
            </w:r>
          </w:p>
        </w:tc>
        <w:tc>
          <w:tcPr>
            <w:tcW w:w="39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556468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只启用现场实际使用方向</w:t>
            </w:r>
          </w:p>
        </w:tc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D1D201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方向状态、告警归类</w:t>
            </w:r>
          </w:p>
        </w:tc>
      </w:tr>
      <w:tr w14:paraId="2EEACC77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AD57A6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过滤告警码</w:t>
            </w:r>
          </w:p>
        </w:tc>
        <w:tc>
          <w:tcPr>
            <w:tcW w:w="39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66A5FE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填写需要屏蔽的告警码</w:t>
            </w:r>
          </w:p>
        </w:tc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4E2CD1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当前告警、历史告警显示</w:t>
            </w:r>
          </w:p>
        </w:tc>
      </w:tr>
    </w:tbl>
    <w:p w14:paraId="38266896">
      <w:pPr>
        <w:pStyle w:val="4"/>
        <w:bidi w:val="0"/>
      </w:pPr>
      <w:r>
        <w:rPr>
          <w:rFonts w:ascii="微软雅黑" w:hAnsi="微软雅黑" w:eastAsia="微软雅黑"/>
        </w:rPr>
        <w:t>查看 BT 数据</w:t>
      </w:r>
    </w:p>
    <w:p w14:paraId="16C86264">
      <w:pPr>
        <w:spacing w:after="120" w:line="283" w:lineRule="auto"/>
      </w:pPr>
      <w:r>
        <w:rPr>
          <w:rFonts w:ascii="微软雅黑" w:hAnsi="微软雅黑" w:eastAsia="微软雅黑"/>
          <w:color w:val="1F2937"/>
          <w:sz w:val="21"/>
        </w:rPr>
        <w:t>BT 后台可查看当前告警、历史告警、开关量、电压电流、继电器动作和用户操作记录。记录类页面优先使用时间、线路、设备、告警码、确认状态等条件筛选，再按需导出。</w:t>
      </w:r>
    </w:p>
    <w:p w14:paraId="1762FE0B">
      <w:pPr>
        <w:jc w:val="center"/>
      </w:pPr>
      <w:r>
        <w:rPr>
          <w:rFonts w:ascii="微软雅黑" w:hAnsi="微软雅黑" w:eastAsia="微软雅黑"/>
        </w:rPr>
        <w:drawing>
          <wp:inline distT="0" distB="0" distL="114300" distR="114300">
            <wp:extent cx="5943600" cy="3714750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AB51">
      <w:pPr>
        <w:spacing w:before="40" w:after="120" w:line="283" w:lineRule="auto"/>
        <w:jc w:val="center"/>
      </w:pPr>
      <w:r>
        <w:t>图 12 BT 后台记录筛选页示例（界面示例）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476F586">
        <w:trPr>
          <w:jc w:val="center"/>
        </w:trPr>
        <w:tc>
          <w:tcPr>
            <w:tcW w:w="1800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D84606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页面</w:t>
            </w:r>
          </w:p>
        </w:tc>
        <w:tc>
          <w:tcPr>
            <w:tcW w:w="3672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E12D0C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查看内容</w:t>
            </w:r>
          </w:p>
        </w:tc>
        <w:tc>
          <w:tcPr>
            <w:tcW w:w="3427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691EC5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建议用法</w:t>
            </w:r>
          </w:p>
        </w:tc>
      </w:tr>
      <w:tr w14:paraId="3DF99BFE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AD7349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当前告警</w:t>
            </w:r>
          </w:p>
        </w:tc>
        <w:tc>
          <w:tcPr>
            <w:tcW w:w="36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442920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当前仍在告警列表、确认状态、告警等级</w:t>
            </w:r>
          </w:p>
        </w:tc>
        <w:tc>
          <w:tcPr>
            <w:tcW w:w="3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907B6E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用于值班确认和状态跟踪</w:t>
            </w:r>
          </w:p>
        </w:tc>
      </w:tr>
      <w:tr w14:paraId="59B22E19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20671C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历史告警</w:t>
            </w:r>
          </w:p>
        </w:tc>
        <w:tc>
          <w:tcPr>
            <w:tcW w:w="36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DA236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已归档告警、确认人、确认时间</w:t>
            </w:r>
          </w:p>
        </w:tc>
        <w:tc>
          <w:tcPr>
            <w:tcW w:w="3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81C4CB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用于追溯分析和报表导出</w:t>
            </w:r>
          </w:p>
        </w:tc>
      </w:tr>
      <w:tr w14:paraId="392017B6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A329FA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开关量</w:t>
            </w:r>
          </w:p>
        </w:tc>
        <w:tc>
          <w:tcPr>
            <w:tcW w:w="36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80FDEE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开关状态采集记录</w:t>
            </w:r>
          </w:p>
        </w:tc>
        <w:tc>
          <w:tcPr>
            <w:tcW w:w="3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F14575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用于核对设备状态变化</w:t>
            </w:r>
          </w:p>
        </w:tc>
      </w:tr>
      <w:tr w14:paraId="6F9C252D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4F9520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电压电流</w:t>
            </w:r>
          </w:p>
        </w:tc>
        <w:tc>
          <w:tcPr>
            <w:tcW w:w="36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962A8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闭塞电压、电流等监测数据</w:t>
            </w:r>
          </w:p>
        </w:tc>
        <w:tc>
          <w:tcPr>
            <w:tcW w:w="3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A514B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用于分析趋势和异常波动</w:t>
            </w:r>
          </w:p>
        </w:tc>
      </w:tr>
      <w:tr w14:paraId="5B51B67F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00F20F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继电器动作</w:t>
            </w:r>
          </w:p>
        </w:tc>
        <w:tc>
          <w:tcPr>
            <w:tcW w:w="36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F09A8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继电器动作时间、设备、动作结果</w:t>
            </w:r>
          </w:p>
        </w:tc>
        <w:tc>
          <w:tcPr>
            <w:tcW w:w="3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0DD78B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用于联锁动作追溯</w:t>
            </w:r>
          </w:p>
        </w:tc>
      </w:tr>
      <w:tr w14:paraId="5B956317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A9F5CA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用户操作记录</w:t>
            </w:r>
          </w:p>
        </w:tc>
        <w:tc>
          <w:tcPr>
            <w:tcW w:w="36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91227B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账号、时间、操作对象、操作内容</w:t>
            </w:r>
          </w:p>
        </w:tc>
        <w:tc>
          <w:tcPr>
            <w:tcW w:w="3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973BEC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用于后台审计</w:t>
            </w:r>
          </w:p>
        </w:tc>
      </w:tr>
    </w:tbl>
    <w:p w14:paraId="45402B09">
      <w:pPr>
        <w:pStyle w:val="4"/>
        <w:bidi w:val="0"/>
      </w:pPr>
      <w:r>
        <w:rPr>
          <w:rFonts w:ascii="微软雅黑" w:hAnsi="微软雅黑" w:eastAsia="微软雅黑"/>
        </w:rPr>
        <w:t>导入导出 BT 数据</w:t>
      </w:r>
    </w:p>
    <w:p w14:paraId="45A68D55">
      <w:pPr>
        <w:spacing w:after="120" w:line="283" w:lineRule="auto"/>
      </w:pPr>
      <w:r>
        <w:rPr>
          <w:rFonts w:ascii="微软雅黑" w:hAnsi="微软雅黑" w:eastAsia="微软雅黑"/>
        </w:rPr>
        <w:t>BT 后台支持对设备、用户、历史数据和部分记录进行导入或导出。导入前应使用系统提供的模板，先在少量记录上复核字段，再执行正式导入。导出文件可用于统计、归档和离线分析，导出后请按现场资料管理要求保存。</w:t>
      </w:r>
    </w:p>
    <w:p w14:paraId="5D98C8A0">
      <w:pPr>
        <w:pStyle w:val="4"/>
        <w:bidi w:val="0"/>
      </w:pPr>
      <w:r>
        <w:rPr>
          <w:rFonts w:ascii="微软雅黑" w:hAnsi="微软雅黑" w:eastAsia="微软雅黑"/>
        </w:rPr>
        <w:t>处理 BT 高风险动作</w:t>
      </w:r>
    </w:p>
    <w:p w14:paraId="52C851D7">
      <w:pPr>
        <w:spacing w:after="120" w:line="283" w:lineRule="auto"/>
      </w:pPr>
      <w:r>
        <w:rPr>
          <w:rFonts w:ascii="微软雅黑" w:hAnsi="微软雅黑" w:eastAsia="微软雅黑"/>
          <w:color w:val="1F2937"/>
          <w:sz w:val="21"/>
        </w:rPr>
        <w:t>下列动作只用于授权维护场景。执行前应确认选择范围、操作目的和二次确认提示，必要时由两名维护人员共同复核。</w:t>
      </w:r>
    </w:p>
    <w:p w14:paraId="35202659">
      <w:pPr>
        <w:jc w:val="center"/>
      </w:pPr>
      <w:r>
        <w:drawing>
          <wp:inline distT="0" distB="0" distL="114300" distR="114300">
            <wp:extent cx="4754880" cy="2971800"/>
            <wp:effectExtent l="0" t="0" r="2032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F6EE">
      <w:pPr>
        <w:spacing w:before="40" w:after="120" w:line="283" w:lineRule="auto"/>
        <w:jc w:val="center"/>
      </w:pPr>
      <w:r>
        <w:t>图 13 BT 后台批量动作入口示例（界面示例）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04B3336">
        <w:trPr>
          <w:cantSplit/>
          <w:jc w:val="center"/>
        </w:trPr>
        <w:tc>
          <w:tcPr>
            <w:tcW w:w="2088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B68E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2937"/>
                <w:sz w:val="19"/>
              </w:rPr>
              <w:t>动作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BF97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2937"/>
                <w:sz w:val="19"/>
              </w:rPr>
              <w:t>适用条件</w:t>
            </w:r>
          </w:p>
        </w:tc>
        <w:tc>
          <w:tcPr>
            <w:tcW w:w="3427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C686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2937"/>
                <w:sz w:val="19"/>
              </w:rPr>
              <w:t>风险说明</w:t>
            </w:r>
          </w:p>
        </w:tc>
      </w:tr>
      <w:tr w14:paraId="19632255">
        <w:trPr>
          <w:cantSplit/>
          <w:jc w:val="center"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E6D2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批量确认告警</w:t>
            </w:r>
          </w:p>
        </w:tc>
        <w:tc>
          <w:tcPr>
            <w:tcW w:w="33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F368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人员已知晓选中告警</w:t>
            </w:r>
          </w:p>
        </w:tc>
        <w:tc>
          <w:tcPr>
            <w:tcW w:w="3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CB50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只表示人员知晓，不表示故障恢复</w:t>
            </w:r>
          </w:p>
        </w:tc>
      </w:tr>
      <w:tr w14:paraId="24E9641C">
        <w:trPr>
          <w:cantSplit/>
          <w:jc w:val="center"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48B9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强制删除选中项目</w:t>
            </w:r>
          </w:p>
        </w:tc>
        <w:tc>
          <w:tcPr>
            <w:tcW w:w="33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F4DF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授权维护、重复或错误数据清理</w:t>
            </w:r>
          </w:p>
        </w:tc>
        <w:tc>
          <w:tcPr>
            <w:tcW w:w="3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96CD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删除后页面不再显示，需确认不会影响追溯</w:t>
            </w:r>
          </w:p>
        </w:tc>
      </w:tr>
      <w:tr w14:paraId="65F7CDF2">
        <w:trPr>
          <w:cantSplit/>
          <w:jc w:val="center"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525E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清空整表</w:t>
            </w:r>
          </w:p>
        </w:tc>
        <w:tc>
          <w:tcPr>
            <w:tcW w:w="33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93F5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超级用户、二次确认、极特殊清理场景</w:t>
            </w:r>
          </w:p>
        </w:tc>
        <w:tc>
          <w:tcPr>
            <w:tcW w:w="3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8A4D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极高风险，会清空整张数据表</w:t>
            </w:r>
          </w:p>
        </w:tc>
      </w:tr>
      <w:tr w14:paraId="1907F2B4">
        <w:trPr>
          <w:cantSplit/>
          <w:jc w:val="center"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437B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发送重连命令</w:t>
            </w:r>
          </w:p>
        </w:tc>
        <w:tc>
          <w:tcPr>
            <w:tcW w:w="33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452D1A">
            <w:pPr>
              <w:spacing w:before="0" w:after="0" w:line="240" w:lineRule="auto"/>
            </w:pPr>
            <w:r>
              <w:rPr>
                <w:sz w:val="19"/>
              </w:rPr>
              <w:t>仅对所选 BT 设备执行，须完成现场授权确认</w:t>
            </w:r>
          </w:p>
        </w:tc>
        <w:tc>
          <w:tcPr>
            <w:tcW w:w="3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903931">
            <w:pPr>
              <w:spacing w:before="0" w:after="0" w:line="240" w:lineRule="auto"/>
            </w:pPr>
            <w:r>
              <w:rPr>
                <w:sz w:val="19"/>
              </w:rPr>
              <w:t>会触发设备通信重连，执行前确认不影响现场值守</w:t>
            </w:r>
          </w:p>
        </w:tc>
      </w:tr>
    </w:tbl>
    <w:p w14:paraId="2AC303AC">
      <w:pPr>
        <w:pStyle w:val="3"/>
        <w:bidi w:val="0"/>
      </w:pPr>
      <w:r>
        <w:t>10 SY 后台管理</w:t>
      </w:r>
    </w:p>
    <w:p w14:paraId="6627F523">
      <w:pPr>
        <w:pStyle w:val="4"/>
        <w:bidi w:val="0"/>
      </w:pPr>
      <w:r>
        <w:rPr>
          <w:rFonts w:ascii="微软雅黑" w:hAnsi="微软雅黑" w:eastAsia="微软雅黑"/>
        </w:rPr>
        <w:t>进入 SY 后台</w:t>
      </w:r>
    </w:p>
    <w:p w14:paraId="1B40D20E">
      <w:pPr>
        <w:spacing w:after="120" w:line="283" w:lineRule="auto"/>
      </w:pPr>
      <w:r>
        <w:rPr>
          <w:rFonts w:ascii="微软雅黑" w:hAnsi="微软雅黑" w:eastAsia="微软雅黑"/>
          <w:color w:val="1F2937"/>
          <w:sz w:val="21"/>
        </w:rPr>
        <w:t>SY 后台面向客户管理员开放，用于维护 SY 设备资料、查看 SY 记录和导出 SY 数据。BT 后台和 SY 后台互相独立，进入前请确认当前账号具备对应系统的后台权限。</w:t>
      </w:r>
    </w:p>
    <w:p w14:paraId="3604AEC2">
      <w:pPr>
        <w:spacing w:after="120" w:line="283" w:lineRule="auto"/>
      </w:pPr>
      <w:r>
        <w:rPr>
          <w:rFonts w:ascii="微软雅黑" w:hAnsi="微软雅黑" w:eastAsia="微软雅黑"/>
        </w:rPr>
        <w:t>本章节截图来自 Chrome 中打开的后台页面，使用示例数据展示。菜单名称、字段顺序和可见按钮以现场系统为准。</w:t>
      </w:r>
    </w:p>
    <w:p w14:paraId="037E413C">
      <w:pPr>
        <w:jc w:val="center"/>
      </w:pPr>
      <w:r>
        <w:drawing>
          <wp:inline distT="0" distB="0" distL="114300" distR="114300">
            <wp:extent cx="5943600" cy="3714750"/>
            <wp:effectExtent l="0" t="0" r="0" b="190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958C">
      <w:pPr>
        <w:spacing w:before="40" w:after="120" w:line="283" w:lineRule="auto"/>
        <w:jc w:val="center"/>
      </w:pPr>
      <w:r>
        <w:t>图 14 SY 后台设备列表示例（界面示例）</w:t>
      </w:r>
    </w:p>
    <w:p w14:paraId="11205A95">
      <w:pPr>
        <w:pStyle w:val="4"/>
        <w:bidi w:val="0"/>
      </w:pPr>
      <w:r>
        <w:rPr>
          <w:rFonts w:ascii="微软雅黑" w:hAnsi="微软雅黑" w:eastAsia="微软雅黑"/>
        </w:rPr>
        <w:t>维护 SY 基础数据</w:t>
      </w:r>
    </w:p>
    <w:p w14:paraId="32A224E9">
      <w:pPr>
        <w:spacing w:after="120" w:line="283" w:lineRule="auto"/>
      </w:pPr>
      <w:r>
        <w:rPr>
          <w:rFonts w:ascii="微软雅黑" w:hAnsi="微软雅黑" w:eastAsia="微软雅黑"/>
          <w:color w:val="1F2937"/>
          <w:sz w:val="21"/>
        </w:rPr>
        <w:t>SY 基础数据包括用户、车间、线路、设备信息和文件管理。SY 后台不混用 BT 设备资料，新增或修改设备时应使用 SY 系统台账。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7D397E9">
        <w:trPr>
          <w:jc w:val="center"/>
        </w:trPr>
        <w:tc>
          <w:tcPr>
            <w:tcW w:w="1555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B6CBEC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对象</w:t>
            </w:r>
          </w:p>
        </w:tc>
        <w:tc>
          <w:tcPr>
            <w:tcW w:w="3859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DE7E21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用途</w:t>
            </w:r>
          </w:p>
        </w:tc>
        <w:tc>
          <w:tcPr>
            <w:tcW w:w="3485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3B8B43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操作提醒</w:t>
            </w:r>
          </w:p>
        </w:tc>
      </w:tr>
      <w:tr w14:paraId="382F2C55">
        <w:trPr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45C552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用户</w:t>
            </w:r>
          </w:p>
        </w:tc>
        <w:tc>
          <w:tcPr>
            <w:tcW w:w="38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EFBE0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维护 SY 后台账号、权限和数据范围</w:t>
            </w:r>
          </w:p>
        </w:tc>
        <w:tc>
          <w:tcPr>
            <w:tcW w:w="34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8B48DE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权限变更后请安排账号重新登录</w:t>
            </w:r>
          </w:p>
        </w:tc>
      </w:tr>
      <w:tr w14:paraId="262FF4FC">
        <w:trPr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459725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车间</w:t>
            </w:r>
          </w:p>
        </w:tc>
        <w:tc>
          <w:tcPr>
            <w:tcW w:w="38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4BD5C4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维护 SY 设备所属组织</w:t>
            </w:r>
          </w:p>
        </w:tc>
        <w:tc>
          <w:tcPr>
            <w:tcW w:w="34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92755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影响设备筛选和权限范围</w:t>
            </w:r>
          </w:p>
        </w:tc>
      </w:tr>
      <w:tr w14:paraId="06954DDC">
        <w:trPr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4B09B9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线路</w:t>
            </w:r>
          </w:p>
        </w:tc>
        <w:tc>
          <w:tcPr>
            <w:tcW w:w="38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EA93FE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维护 SY 线路名称</w:t>
            </w:r>
          </w:p>
        </w:tc>
        <w:tc>
          <w:tcPr>
            <w:tcW w:w="34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356658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影响记录查询和设备归属</w:t>
            </w:r>
          </w:p>
        </w:tc>
      </w:tr>
      <w:tr w14:paraId="0405C79A">
        <w:trPr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80E6AF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设备信息</w:t>
            </w:r>
          </w:p>
        </w:tc>
        <w:tc>
          <w:tcPr>
            <w:tcW w:w="38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94C2CD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维护 SY 设备 ID、三方向、协议参数和告警联动</w:t>
            </w:r>
          </w:p>
        </w:tc>
        <w:tc>
          <w:tcPr>
            <w:tcW w:w="34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5D380E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保存前需核对现场台账</w:t>
            </w:r>
          </w:p>
        </w:tc>
      </w:tr>
      <w:tr w14:paraId="7C3B6CF0">
        <w:trPr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B301D2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文件管理</w:t>
            </w:r>
          </w:p>
        </w:tc>
        <w:tc>
          <w:tcPr>
            <w:tcW w:w="38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F5186D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维护 SY 相关说明资料和模板文件</w:t>
            </w:r>
          </w:p>
        </w:tc>
        <w:tc>
          <w:tcPr>
            <w:tcW w:w="34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271818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文件仅放置客户可查看资料</w:t>
            </w:r>
          </w:p>
        </w:tc>
      </w:tr>
    </w:tbl>
    <w:p w14:paraId="220C84B7">
      <w:pPr>
        <w:pStyle w:val="4"/>
        <w:bidi w:val="0"/>
      </w:pPr>
      <w:r>
        <w:rPr>
          <w:rFonts w:ascii="微软雅黑" w:hAnsi="微软雅黑" w:eastAsia="微软雅黑"/>
        </w:rPr>
        <w:t>维护 SY 设备</w:t>
      </w:r>
    </w:p>
    <w:p w14:paraId="3379DB7A">
      <w:pPr>
        <w:spacing w:after="120" w:line="283" w:lineRule="auto"/>
      </w:pPr>
      <w:r>
        <w:rPr>
          <w:rFonts w:ascii="微软雅黑" w:hAnsi="微软雅黑" w:eastAsia="微软雅黑"/>
          <w:color w:val="1F2937"/>
          <w:sz w:val="21"/>
        </w:rPr>
        <w:t>SY 设备编辑页用于维护设备 ID、名称、IP、坐标、一方向邻站、二方向邻站、三方向邻站、方向启用、自动切换、动态地址、封连地址、电缆告警联动、备注和过滤告警码。SY 设备可能同时存在 A1 和 A2 状态数据，协议参数保存前应由授权人员复核。</w:t>
      </w:r>
    </w:p>
    <w:p w14:paraId="050A1239">
      <w:pPr>
        <w:jc w:val="center"/>
      </w:pPr>
      <w:r>
        <w:drawing>
          <wp:inline distT="0" distB="0" distL="114300" distR="114300">
            <wp:extent cx="5943600" cy="3714750"/>
            <wp:effectExtent l="0" t="0" r="0" b="190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6344">
      <w:pPr>
        <w:spacing w:before="40" w:after="120" w:line="283" w:lineRule="auto"/>
        <w:jc w:val="center"/>
      </w:pPr>
      <w:r>
        <w:t>图 15 SY 后台设备编辑页示例（界面示例）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0B8E52F"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3D6C12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字段</w:t>
            </w:r>
          </w:p>
        </w:tc>
        <w:tc>
          <w:tcPr>
            <w:tcW w:w="3960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D51143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填写要求</w:t>
            </w:r>
          </w:p>
        </w:tc>
        <w:tc>
          <w:tcPr>
            <w:tcW w:w="2995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464DFA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影响范围</w:t>
            </w:r>
          </w:p>
        </w:tc>
      </w:tr>
      <w:tr w14:paraId="24417678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957B1C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三方向邻站</w:t>
            </w:r>
          </w:p>
        </w:tc>
        <w:tc>
          <w:tcPr>
            <w:tcW w:w="39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596B4B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按现场一、二、三方向关系维护</w:t>
            </w:r>
          </w:p>
        </w:tc>
        <w:tc>
          <w:tcPr>
            <w:tcW w:w="29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8E186C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拓扑展示、状态归属</w:t>
            </w:r>
          </w:p>
        </w:tc>
      </w:tr>
      <w:tr w14:paraId="3AD6D03D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8C285E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方向启用</w:t>
            </w:r>
          </w:p>
        </w:tc>
        <w:tc>
          <w:tcPr>
            <w:tcW w:w="39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58828B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仅启用现场实际使用方向</w:t>
            </w:r>
          </w:p>
        </w:tc>
        <w:tc>
          <w:tcPr>
            <w:tcW w:w="29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0DDC8D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告警归类、状态显示</w:t>
            </w:r>
          </w:p>
        </w:tc>
      </w:tr>
      <w:tr w14:paraId="33EF3221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3E5A8B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自动切换</w:t>
            </w:r>
          </w:p>
        </w:tc>
        <w:tc>
          <w:tcPr>
            <w:tcW w:w="39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A26675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按设备能力和现场授权配置</w:t>
            </w:r>
          </w:p>
        </w:tc>
        <w:tc>
          <w:tcPr>
            <w:tcW w:w="29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F9623F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方向状态展示和维护判断</w:t>
            </w:r>
          </w:p>
        </w:tc>
      </w:tr>
      <w:tr w14:paraId="4843B860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DE1670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动态地址</w:t>
            </w:r>
          </w:p>
        </w:tc>
        <w:tc>
          <w:tcPr>
            <w:tcW w:w="39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C81934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按设备协议参数设置</w:t>
            </w:r>
          </w:p>
        </w:tc>
        <w:tc>
          <w:tcPr>
            <w:tcW w:w="29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E93799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通信解析和地址识别</w:t>
            </w:r>
          </w:p>
        </w:tc>
      </w:tr>
      <w:tr w14:paraId="3B708FCC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DCB668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封连地址</w:t>
            </w:r>
          </w:p>
        </w:tc>
        <w:tc>
          <w:tcPr>
            <w:tcW w:w="39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559E0D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按现场台账填写</w:t>
            </w:r>
          </w:p>
        </w:tc>
        <w:tc>
          <w:tcPr>
            <w:tcW w:w="29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9E47C5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协议解析和状态判读</w:t>
            </w:r>
          </w:p>
        </w:tc>
      </w:tr>
      <w:tr w14:paraId="1B5B6DED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45D9F9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电缆告警联动</w:t>
            </w:r>
          </w:p>
        </w:tc>
        <w:tc>
          <w:tcPr>
            <w:tcW w:w="39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6B15F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按一方向、二方向分别配置</w:t>
            </w:r>
          </w:p>
        </w:tc>
        <w:tc>
          <w:tcPr>
            <w:tcW w:w="29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C112C4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告警联动和事件记录</w:t>
            </w:r>
          </w:p>
        </w:tc>
      </w:tr>
      <w:tr w14:paraId="0FD82788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B03FE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过滤告警码</w:t>
            </w:r>
          </w:p>
        </w:tc>
        <w:tc>
          <w:tcPr>
            <w:tcW w:w="39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2162C1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填写需屏蔽的告警码</w:t>
            </w:r>
          </w:p>
        </w:tc>
        <w:tc>
          <w:tcPr>
            <w:tcW w:w="29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9ABD91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当前告警、历史告警显示</w:t>
            </w:r>
          </w:p>
        </w:tc>
      </w:tr>
    </w:tbl>
    <w:p w14:paraId="022E2A58">
      <w:pPr>
        <w:pStyle w:val="4"/>
        <w:bidi w:val="0"/>
      </w:pPr>
      <w:r>
        <w:rPr>
          <w:rFonts w:ascii="微软雅黑" w:hAnsi="微软雅黑" w:eastAsia="微软雅黑"/>
        </w:rPr>
        <w:t>查看 SY 数据</w:t>
      </w:r>
    </w:p>
    <w:p w14:paraId="4078860D">
      <w:pPr>
        <w:spacing w:after="120" w:line="283" w:lineRule="auto"/>
      </w:pPr>
      <w:r>
        <w:rPr>
          <w:rFonts w:ascii="微软雅黑" w:hAnsi="微软雅黑" w:eastAsia="微软雅黑"/>
          <w:color w:val="1F2937"/>
          <w:sz w:val="21"/>
        </w:rPr>
        <w:t>SY 后台可查看当前告警、历史告警、原始协议帧、状态字快照、变化量事件、继电器动作、远程控制日志和用户操作记录。原始协议帧和状态字快照主要用于维护分析，日常值守应以当前告警、设备状态和记录查询为主。</w:t>
      </w:r>
    </w:p>
    <w:p w14:paraId="05812E16">
      <w:pPr>
        <w:jc w:val="center"/>
      </w:pPr>
      <w:r>
        <w:rPr>
          <w:rFonts w:ascii="微软雅黑" w:hAnsi="微软雅黑" w:eastAsia="微软雅黑"/>
        </w:rPr>
        <w:drawing>
          <wp:inline distT="0" distB="0" distL="114300" distR="114300">
            <wp:extent cx="5943600" cy="3714750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2E9A">
      <w:pPr>
        <w:spacing w:before="40" w:after="120" w:line="283" w:lineRule="auto"/>
        <w:jc w:val="center"/>
      </w:pPr>
      <w:r>
        <w:t>图 16 SY 后台原始协议帧页面示例（界面示例）</w:t>
      </w:r>
    </w:p>
    <w:p w14:paraId="114F73F4">
      <w:pPr>
        <w:jc w:val="center"/>
      </w:pPr>
      <w:r>
        <w:rPr>
          <w:rFonts w:ascii="微软雅黑" w:hAnsi="微软雅黑" w:eastAsia="微软雅黑"/>
        </w:rPr>
        <w:drawing>
          <wp:inline distT="0" distB="0" distL="114300" distR="114300">
            <wp:extent cx="5943600" cy="3714750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09DE">
      <w:pPr>
        <w:spacing w:before="40" w:after="120" w:line="283" w:lineRule="auto"/>
        <w:jc w:val="center"/>
      </w:pPr>
      <w:r>
        <w:t>图 17 SY 后台记录筛选页示例（界面示例）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78E9873"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55F459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页面</w:t>
            </w:r>
          </w:p>
        </w:tc>
        <w:tc>
          <w:tcPr>
            <w:tcW w:w="3715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B19806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查看内容</w:t>
            </w:r>
          </w:p>
        </w:tc>
        <w:tc>
          <w:tcPr>
            <w:tcW w:w="3240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B9960B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建议用法</w:t>
            </w:r>
          </w:p>
        </w:tc>
      </w:tr>
      <w:tr w14:paraId="15F657A8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97AAC8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当前告警</w:t>
            </w:r>
          </w:p>
        </w:tc>
        <w:tc>
          <w:tcPr>
            <w:tcW w:w="3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CF7904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SY 当前告警、确认状态、告警等级</w:t>
            </w:r>
          </w:p>
        </w:tc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1B09A4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用于值班确认和跟踪</w:t>
            </w:r>
          </w:p>
        </w:tc>
      </w:tr>
      <w:tr w14:paraId="2FF8B781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EE45FC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历史告警</w:t>
            </w:r>
          </w:p>
        </w:tc>
        <w:tc>
          <w:tcPr>
            <w:tcW w:w="3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D0A3CA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SY 归档告警、确认信息、处理备注</w:t>
            </w:r>
          </w:p>
        </w:tc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35F7F6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用于追溯和导出</w:t>
            </w:r>
          </w:p>
        </w:tc>
      </w:tr>
      <w:tr w14:paraId="75369380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C3B718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原始协议帧</w:t>
            </w:r>
          </w:p>
        </w:tc>
        <w:tc>
          <w:tcPr>
            <w:tcW w:w="3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C92A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设备上报的原始帧内容</w:t>
            </w:r>
          </w:p>
        </w:tc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B4725A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仅用于维护分析</w:t>
            </w:r>
          </w:p>
        </w:tc>
      </w:tr>
      <w:tr w14:paraId="254BE796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FA99EB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状态字快照</w:t>
            </w:r>
          </w:p>
        </w:tc>
        <w:tc>
          <w:tcPr>
            <w:tcW w:w="3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24BD0A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A1、A2 状态字和解析结果</w:t>
            </w:r>
          </w:p>
        </w:tc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4BCA40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用于判断状态变化来源</w:t>
            </w:r>
          </w:p>
        </w:tc>
      </w:tr>
      <w:tr w14:paraId="2FBD3925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3197A8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变化量事件</w:t>
            </w:r>
          </w:p>
        </w:tc>
        <w:tc>
          <w:tcPr>
            <w:tcW w:w="3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B9E751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状态位变化、方向、事件来源</w:t>
            </w:r>
          </w:p>
        </w:tc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949058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用于定位状态变化过程</w:t>
            </w:r>
          </w:p>
        </w:tc>
      </w:tr>
      <w:tr w14:paraId="4CFE5062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2FB396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继电器动作</w:t>
            </w:r>
          </w:p>
        </w:tc>
        <w:tc>
          <w:tcPr>
            <w:tcW w:w="3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4156EF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继电器动作时间、设备、动作结果</w:t>
            </w:r>
          </w:p>
        </w:tc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A56DCC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用于动作追溯</w:t>
            </w:r>
          </w:p>
        </w:tc>
      </w:tr>
      <w:tr w14:paraId="46DAC91C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A6A837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远程控制日志</w:t>
            </w:r>
          </w:p>
        </w:tc>
        <w:tc>
          <w:tcPr>
            <w:tcW w:w="3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F693CC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远程控制请求、结果、操作人</w:t>
            </w:r>
          </w:p>
        </w:tc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D38674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用于授权操作审计</w:t>
            </w:r>
          </w:p>
        </w:tc>
      </w:tr>
      <w:tr w14:paraId="7823DFCD">
        <w:trPr>
          <w:jc w:val="center"/>
        </w:trPr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6E34F9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用户操作记录</w:t>
            </w:r>
          </w:p>
        </w:tc>
        <w:tc>
          <w:tcPr>
            <w:tcW w:w="3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D511C0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后台账号操作记录</w:t>
            </w:r>
          </w:p>
        </w:tc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F0EDEC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用于权限审计</w:t>
            </w:r>
          </w:p>
        </w:tc>
      </w:tr>
    </w:tbl>
    <w:p w14:paraId="10DC60CC">
      <w:pPr>
        <w:pStyle w:val="4"/>
        <w:bidi w:val="0"/>
      </w:pPr>
      <w:r>
        <w:rPr>
          <w:rFonts w:ascii="微软雅黑" w:hAnsi="微软雅黑" w:eastAsia="微软雅黑"/>
        </w:rPr>
        <w:t>导出 SY 记录</w:t>
      </w:r>
    </w:p>
    <w:p w14:paraId="56A1F811">
      <w:pPr>
        <w:spacing w:after="120" w:line="283" w:lineRule="auto"/>
      </w:pPr>
      <w:r>
        <w:rPr>
          <w:rFonts w:ascii="微软雅黑" w:hAnsi="微软雅黑" w:eastAsia="微软雅黑"/>
          <w:color w:val="1F2937"/>
          <w:sz w:val="21"/>
        </w:rPr>
        <w:t>SY 后台以查看和导出为主。原始协议帧、状态字快照、变化量事件、远程控制日志等记录通常不建议手工新增或导入，避免破坏系统追溯链路。需要离线分析时，请先筛选时间、设备、状态类型或事件来源，再导出查询结果。</w:t>
      </w:r>
    </w:p>
    <w:p w14:paraId="769378DB">
      <w:pPr>
        <w:pStyle w:val="4"/>
        <w:bidi w:val="0"/>
      </w:pPr>
      <w:r>
        <w:rPr>
          <w:rFonts w:ascii="微软雅黑" w:hAnsi="微软雅黑" w:eastAsia="微软雅黑"/>
        </w:rPr>
        <w:t>处理 SY 高风险动作</w:t>
      </w:r>
    </w:p>
    <w:p w14:paraId="2ED2D288">
      <w:pPr>
        <w:spacing w:after="120" w:line="283" w:lineRule="auto"/>
      </w:pPr>
      <w:r>
        <w:rPr>
          <w:rFonts w:ascii="微软雅黑" w:hAnsi="微软雅黑" w:eastAsia="微软雅黑"/>
          <w:color w:val="1F2937"/>
          <w:sz w:val="21"/>
        </w:rPr>
        <w:t>SY 后台高风险动作应单独授权。批量确认告警只表示人员已知晓，不代表故障恢复；强制删除选中项目仅用于授权维护清理；清空整表仅限超级用户在二次确认后执行，属于极高风险操作。SY 后台不把重连命令作为日常操作入口，如现场明确启用，须按现场授权口令和维护流程执行。</w:t>
      </w:r>
    </w:p>
    <w:p w14:paraId="0A863A20">
      <w:pPr>
        <w:pStyle w:val="3"/>
      </w:pPr>
      <w:r>
        <w:t>11 常见问题</w:t>
      </w:r>
    </w:p>
    <w:tbl>
      <w:tblPr>
        <w:tblStyle w:val="32"/>
        <w:tblW w:w="9288" w:type="dxa"/>
        <w:tblInd w:w="120" w:type="dxa"/>
        <w:tblBorders>
          <w:top w:val="single" w:color="D7E0EC" w:sz="4" w:space="0"/>
          <w:left w:val="single" w:color="D7E0EC" w:sz="4" w:space="0"/>
          <w:bottom w:val="single" w:color="D7E0EC" w:sz="4" w:space="0"/>
          <w:right w:val="single" w:color="D7E0EC" w:sz="4" w:space="0"/>
          <w:insideH w:val="single" w:color="D7E0EC" w:sz="4" w:space="0"/>
          <w:insideV w:val="single" w:color="D7E0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EDB5CB3"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52C7A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问题</w:t>
            </w:r>
          </w:p>
        </w:tc>
        <w:tc>
          <w:tcPr>
            <w:tcW w:w="70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2DB58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处理建议</w:t>
            </w:r>
          </w:p>
        </w:tc>
      </w:tr>
      <w:tr w14:paraId="73CF68AE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E56B3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无法登录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44279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检查用户名、密码和网络地址是否正确；确认账号未被停用；必要时联系管理员重置密码。</w:t>
            </w:r>
          </w:p>
        </w:tc>
      </w:tr>
      <w:tr w14:paraId="2F0269CA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8C73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看不到设备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2B6A5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检查账号是否拥有对应车间权限；确认设备已在后台启用，并且筛选条件未排除该设备。</w:t>
            </w:r>
          </w:p>
        </w:tc>
      </w:tr>
      <w:tr w14:paraId="5FA4B923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04F9B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告警声不响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46214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先点击页面任意位置启用浏览器音频，再检查“声音”开关、系统音量和音箱。</w:t>
            </w:r>
          </w:p>
        </w:tc>
      </w:tr>
      <w:tr w14:paraId="6472CCA9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96E27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记录查不到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4A4C6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扩大时间范围，确认系统选择 BT/SY 是否正确，并检查线路、设备、告警码和确认状态筛选。</w:t>
            </w:r>
          </w:p>
        </w:tc>
      </w:tr>
      <w:tr w14:paraId="57472546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41337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系统设置无法保存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31120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确认当前账号为超级用户，后端配置表已迁移完成，并按提示输入当前登录密码。</w:t>
            </w:r>
          </w:p>
        </w:tc>
      </w:tr>
      <w:tr w14:paraId="049216C2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BDCCF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后台打不开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241CA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确认账号具有后台访问权限；若仍失败，联系系统管理员检查后端服务。</w:t>
            </w:r>
          </w:p>
        </w:tc>
      </w:tr>
      <w:tr w14:paraId="3D69B92A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8F620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远程命令发送失败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5198B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检查是否通过授权验证、设备是否存在、邻站配置是否完整，并查看页面错误提示和用户操作记录。</w:t>
            </w:r>
          </w:p>
        </w:tc>
      </w:tr>
      <w:tr w14:paraId="297D498A">
        <w:tblPrEx>
          <w:tblBorders>
            <w:top w:val="single" w:color="F0C36A" w:sz="4" w:space="0"/>
            <w:left w:val="single" w:color="F0C36A" w:sz="4" w:space="0"/>
            <w:bottom w:val="single" w:color="F0C36A" w:sz="4" w:space="0"/>
            <w:right w:val="single" w:color="F0C36A" w:sz="4" w:space="0"/>
            <w:insideH w:val="single" w:color="F0C36A" w:sz="4" w:space="0"/>
            <w:insideV w:val="single" w:color="F0C36A" w:sz="4" w:space="0"/>
          </w:tblBorders>
        </w:tblPrEx>
        <w:tc>
          <w:tcPr>
            <w:tcW w:w="9288" w:type="dxa"/>
            <w:gridSpan w:val="2"/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33288">
            <w:pPr>
              <w:spacing w:after="0"/>
            </w:pPr>
            <w:r>
              <w:rPr>
                <w:rFonts w:ascii="Calibri" w:hAnsi="Calibri" w:eastAsia="微软雅黑"/>
                <w:b/>
                <w:color w:val="7A4B00"/>
                <w:sz w:val="20"/>
              </w:rPr>
              <w:t>现场处置：</w:t>
            </w:r>
            <w:r>
              <w:rPr>
                <w:rFonts w:ascii="Calibri" w:hAnsi="Calibri" w:eastAsia="微软雅黑"/>
                <w:color w:val="7A4B00"/>
                <w:sz w:val="20"/>
              </w:rPr>
              <w:t>当页面提示和现场状态不一致时，以现场规章和现场确认结果为准，并保留告警、记录和操作截图用于后续分析。</w:t>
            </w:r>
          </w:p>
        </w:tc>
      </w:tr>
    </w:tbl>
    <w:p w14:paraId="1039CB05">
      <w:pPr>
        <w:pStyle w:val="4"/>
      </w:pPr>
      <w:r>
        <w:t>准备技术支持信息</w:t>
      </w:r>
    </w:p>
    <w:p w14:paraId="27FFB6CF">
      <w:r>
        <w:t>遇到无法自行判断的问题时，建议先整理信息再联系厂家支持。信息越完整，定位速度越快。</w:t>
      </w:r>
    </w:p>
    <w:p w14:paraId="5BA2D87B">
      <w:pPr>
        <w:pStyle w:val="14"/>
        <w:numPr>
          <w:ilvl w:val="0"/>
          <w:numId w:val="22"/>
        </w:numPr>
      </w:pPr>
      <w:r>
        <w:t>问题现象和首次出现时间。</w:t>
      </w:r>
    </w:p>
    <w:p w14:paraId="0DFC26DD">
      <w:pPr>
        <w:pStyle w:val="14"/>
        <w:numPr>
          <w:ilvl w:val="0"/>
          <w:numId w:val="22"/>
        </w:numPr>
      </w:pPr>
      <w:r>
        <w:t>设备名称、线路、车间和当前告警码。</w:t>
      </w:r>
    </w:p>
    <w:p w14:paraId="6A6EA04C">
      <w:pPr>
        <w:pStyle w:val="14"/>
        <w:numPr>
          <w:ilvl w:val="0"/>
          <w:numId w:val="22"/>
        </w:numPr>
      </w:pPr>
      <w:r>
        <w:t>相关页面截图、导出的记录文件或告警明细。</w:t>
      </w:r>
    </w:p>
    <w:p w14:paraId="0653F6A0">
      <w:pPr>
        <w:pStyle w:val="14"/>
        <w:numPr>
          <w:ilvl w:val="0"/>
          <w:numId w:val="22"/>
        </w:numPr>
      </w:pPr>
      <w:r>
        <w:t>最近是否调整过系统参数、设备资料或现场线路。</w:t>
      </w:r>
    </w:p>
    <w:p w14:paraId="6232BAAF">
      <w:pPr>
        <w:pStyle w:val="4"/>
        <w:pageBreakBefore/>
      </w:pPr>
      <w:r>
        <w:t>BT 常用告警码处理建议</w:t>
      </w:r>
    </w:p>
    <w:p w14:paraId="00B6B9DC">
      <w:r>
        <w:t>下表根据 BT 告警处理建议整理为客户值守口径。现场处理应先确认设备、方向、邻站和当前告警变化；按建议处理后告警仍未解除时，请联系设备厂家人员。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2520"/>
        <w:gridCol w:w="5328"/>
      </w:tblGrid>
      <w:tr w14:paraId="513A66C1">
        <w:trPr>
          <w:jc w:val="center"/>
        </w:trPr>
        <w:tc>
          <w:tcPr>
            <w:tcW w:w="1512" w:type="dxa"/>
            <w:shd w:val="clear" w:color="auto" w:fill="EAF2F8"/>
            <w:vAlign w:val="center"/>
          </w:tcPr>
          <w:p w14:paraId="755C4810">
            <w:pPr>
              <w:spacing w:before="0" w:after="0"/>
            </w:pPr>
            <w:r>
              <w:rPr>
                <w:b/>
                <w:sz w:val="17"/>
              </w:rPr>
              <w:t>告警码</w:t>
            </w:r>
          </w:p>
        </w:tc>
        <w:tc>
          <w:tcPr>
            <w:tcW w:w="2520" w:type="dxa"/>
            <w:shd w:val="clear" w:color="auto" w:fill="EAF2F8"/>
            <w:vAlign w:val="center"/>
          </w:tcPr>
          <w:p w14:paraId="5FB4666A">
            <w:pPr>
              <w:spacing w:before="0" w:after="0"/>
            </w:pPr>
            <w:r>
              <w:rPr>
                <w:b/>
                <w:sz w:val="17"/>
              </w:rPr>
              <w:t>含义</w:t>
            </w:r>
          </w:p>
        </w:tc>
        <w:tc>
          <w:tcPr>
            <w:tcW w:w="5328" w:type="dxa"/>
            <w:shd w:val="clear" w:color="auto" w:fill="EAF2F8"/>
            <w:vAlign w:val="center"/>
          </w:tcPr>
          <w:p w14:paraId="350306BB">
            <w:pPr>
              <w:spacing w:before="0" w:after="0"/>
            </w:pPr>
            <w:r>
              <w:rPr>
                <w:b/>
                <w:sz w:val="17"/>
              </w:rPr>
              <w:t>建议处理</w:t>
            </w:r>
          </w:p>
        </w:tc>
      </w:tr>
      <w:tr w14:paraId="45BF1404">
        <w:trPr>
          <w:jc w:val="center"/>
        </w:trPr>
        <w:tc>
          <w:tcPr>
            <w:tcW w:w="1512" w:type="dxa"/>
            <w:vAlign w:val="center"/>
          </w:tcPr>
          <w:p w14:paraId="500F102F">
            <w:pPr>
              <w:spacing w:before="0" w:after="0"/>
            </w:pPr>
            <w:r>
              <w:rPr>
                <w:b w:val="0"/>
                <w:sz w:val="17"/>
              </w:rPr>
              <w:t>0</w:t>
            </w:r>
          </w:p>
        </w:tc>
        <w:tc>
          <w:tcPr>
            <w:tcW w:w="2520" w:type="dxa"/>
            <w:vAlign w:val="center"/>
          </w:tcPr>
          <w:p w14:paraId="191DBB2A">
            <w:pPr>
              <w:spacing w:before="0" w:after="0"/>
            </w:pPr>
            <w:r>
              <w:rPr>
                <w:b w:val="0"/>
                <w:sz w:val="17"/>
              </w:rPr>
              <w:t>设备网管连接中断</w:t>
            </w:r>
          </w:p>
        </w:tc>
        <w:tc>
          <w:tcPr>
            <w:tcW w:w="5328" w:type="dxa"/>
            <w:vAlign w:val="center"/>
          </w:tcPr>
          <w:p w14:paraId="36AC13A8">
            <w:pPr>
              <w:spacing w:before="0" w:after="0"/>
            </w:pPr>
            <w:r>
              <w:rPr>
                <w:b w:val="0"/>
                <w:sz w:val="17"/>
              </w:rPr>
              <w:t>检查设备供电、网线、交换机和网络连通情况；未恢复时联系网络管理员或厂家。</w:t>
            </w:r>
          </w:p>
        </w:tc>
      </w:tr>
      <w:tr w14:paraId="52F1A4A3">
        <w:trPr>
          <w:jc w:val="center"/>
        </w:trPr>
        <w:tc>
          <w:tcPr>
            <w:tcW w:w="1512" w:type="dxa"/>
            <w:vAlign w:val="center"/>
          </w:tcPr>
          <w:p w14:paraId="693E6262">
            <w:pPr>
              <w:spacing w:before="0" w:after="0"/>
            </w:pPr>
            <w:r>
              <w:rPr>
                <w:b w:val="0"/>
                <w:sz w:val="17"/>
              </w:rPr>
              <w:t>40、41、42、43</w:t>
            </w:r>
          </w:p>
        </w:tc>
        <w:tc>
          <w:tcPr>
            <w:tcW w:w="2520" w:type="dxa"/>
            <w:vAlign w:val="center"/>
          </w:tcPr>
          <w:p w14:paraId="5ABBAB1C">
            <w:pPr>
              <w:spacing w:before="0" w:after="0"/>
            </w:pPr>
            <w:r>
              <w:rPr>
                <w:b w:val="0"/>
                <w:sz w:val="17"/>
              </w:rPr>
              <w:t>一方向或二方向电源板状态异常</w:t>
            </w:r>
          </w:p>
        </w:tc>
        <w:tc>
          <w:tcPr>
            <w:tcW w:w="5328" w:type="dxa"/>
            <w:vAlign w:val="center"/>
          </w:tcPr>
          <w:p w14:paraId="1388F32A">
            <w:pPr>
              <w:spacing w:before="0" w:after="0"/>
            </w:pPr>
            <w:r>
              <w:rPr>
                <w:b w:val="0"/>
                <w:sz w:val="17"/>
              </w:rPr>
              <w:t>先确认故障方向和 A/B 板位；按现场维护规程检查供电和电源板，必要时更换同型号板卡。</w:t>
            </w:r>
          </w:p>
        </w:tc>
      </w:tr>
      <w:tr w14:paraId="7A4F1E95">
        <w:trPr>
          <w:jc w:val="center"/>
        </w:trPr>
        <w:tc>
          <w:tcPr>
            <w:tcW w:w="1512" w:type="dxa"/>
            <w:vAlign w:val="center"/>
          </w:tcPr>
          <w:p w14:paraId="03603530">
            <w:pPr>
              <w:spacing w:before="0" w:after="0"/>
            </w:pPr>
            <w:r>
              <w:rPr>
                <w:b w:val="0"/>
                <w:sz w:val="17"/>
              </w:rPr>
              <w:t>44、45、46、47</w:t>
            </w:r>
          </w:p>
        </w:tc>
        <w:tc>
          <w:tcPr>
            <w:tcW w:w="2520" w:type="dxa"/>
            <w:vAlign w:val="center"/>
          </w:tcPr>
          <w:p w14:paraId="5253D0CF">
            <w:pPr>
              <w:spacing w:before="0" w:after="0"/>
            </w:pPr>
            <w:r>
              <w:rPr>
                <w:b w:val="0"/>
                <w:sz w:val="17"/>
              </w:rPr>
              <w:t>一方向或二方向 CPU 板通信异常</w:t>
            </w:r>
          </w:p>
        </w:tc>
        <w:tc>
          <w:tcPr>
            <w:tcW w:w="5328" w:type="dxa"/>
            <w:vAlign w:val="center"/>
          </w:tcPr>
          <w:p w14:paraId="195E8D88">
            <w:pPr>
              <w:spacing w:before="0" w:after="0"/>
            </w:pPr>
            <w:r>
              <w:rPr>
                <w:b w:val="0"/>
                <w:sz w:val="17"/>
              </w:rPr>
              <w:t>若同时存在电源板告警，先处理电源问题；仍未恢复时按规程检查或更换 CPU 板。</w:t>
            </w:r>
          </w:p>
        </w:tc>
      </w:tr>
      <w:tr w14:paraId="233E229E">
        <w:trPr>
          <w:jc w:val="center"/>
        </w:trPr>
        <w:tc>
          <w:tcPr>
            <w:tcW w:w="1512" w:type="dxa"/>
            <w:vAlign w:val="center"/>
          </w:tcPr>
          <w:p w14:paraId="6C01DF66">
            <w:pPr>
              <w:spacing w:before="0" w:after="0"/>
            </w:pPr>
            <w:r>
              <w:rPr>
                <w:b w:val="0"/>
                <w:sz w:val="17"/>
              </w:rPr>
              <w:t>70、110</w:t>
            </w:r>
          </w:p>
        </w:tc>
        <w:tc>
          <w:tcPr>
            <w:tcW w:w="2520" w:type="dxa"/>
            <w:vAlign w:val="center"/>
          </w:tcPr>
          <w:p w14:paraId="656C386A">
            <w:pPr>
              <w:spacing w:before="0" w:after="0"/>
            </w:pPr>
            <w:r>
              <w:rPr>
                <w:b w:val="0"/>
                <w:sz w:val="17"/>
              </w:rPr>
              <w:t>QHJ 状态和邻站不一致</w:t>
            </w:r>
          </w:p>
        </w:tc>
        <w:tc>
          <w:tcPr>
            <w:tcW w:w="5328" w:type="dxa"/>
            <w:vAlign w:val="center"/>
          </w:tcPr>
          <w:p w14:paraId="10AD72A8">
            <w:pPr>
              <w:spacing w:before="0" w:after="0"/>
            </w:pPr>
            <w:r>
              <w:rPr>
                <w:b w:val="0"/>
                <w:sz w:val="17"/>
              </w:rPr>
              <w:t>核对本端和邻站 QHJ 状态，必要时联系现场人员确认继电器实际位置。</w:t>
            </w:r>
          </w:p>
        </w:tc>
      </w:tr>
      <w:tr w14:paraId="2EF868A9">
        <w:trPr>
          <w:jc w:val="center"/>
        </w:trPr>
        <w:tc>
          <w:tcPr>
            <w:tcW w:w="1512" w:type="dxa"/>
            <w:vAlign w:val="center"/>
          </w:tcPr>
          <w:p w14:paraId="493FCFE0">
            <w:pPr>
              <w:spacing w:before="0" w:after="0"/>
            </w:pPr>
            <w:r>
              <w:rPr>
                <w:b w:val="0"/>
                <w:sz w:val="17"/>
              </w:rPr>
              <w:t>71、111</w:t>
            </w:r>
          </w:p>
        </w:tc>
        <w:tc>
          <w:tcPr>
            <w:tcW w:w="2520" w:type="dxa"/>
            <w:vAlign w:val="center"/>
          </w:tcPr>
          <w:p w14:paraId="00A21AC0">
            <w:pPr>
              <w:spacing w:before="0" w:after="0"/>
            </w:pPr>
            <w:r>
              <w:rPr>
                <w:b w:val="0"/>
                <w:sz w:val="17"/>
              </w:rPr>
              <w:t>电缆状态异常</w:t>
            </w:r>
          </w:p>
        </w:tc>
        <w:tc>
          <w:tcPr>
            <w:tcW w:w="5328" w:type="dxa"/>
            <w:vAlign w:val="center"/>
          </w:tcPr>
          <w:p w14:paraId="7AE78D78">
            <w:pPr>
              <w:spacing w:before="0" w:after="0"/>
            </w:pPr>
            <w:r>
              <w:rPr>
                <w:b w:val="0"/>
                <w:sz w:val="17"/>
              </w:rPr>
              <w:t>通知相关维护人员检查电缆状态，持续观察告警是否恢复。</w:t>
            </w:r>
          </w:p>
        </w:tc>
      </w:tr>
      <w:tr w14:paraId="07030104">
        <w:trPr>
          <w:jc w:val="center"/>
        </w:trPr>
        <w:tc>
          <w:tcPr>
            <w:tcW w:w="1512" w:type="dxa"/>
            <w:vAlign w:val="center"/>
          </w:tcPr>
          <w:p w14:paraId="15D98216">
            <w:pPr>
              <w:spacing w:before="0" w:after="0"/>
            </w:pPr>
            <w:r>
              <w:rPr>
                <w:b w:val="0"/>
                <w:sz w:val="17"/>
              </w:rPr>
              <w:t>72、112</w:t>
            </w:r>
          </w:p>
        </w:tc>
        <w:tc>
          <w:tcPr>
            <w:tcW w:w="2520" w:type="dxa"/>
            <w:vAlign w:val="center"/>
          </w:tcPr>
          <w:p w14:paraId="0037F36E">
            <w:pPr>
              <w:spacing w:before="0" w:after="0"/>
            </w:pPr>
            <w:r>
              <w:rPr>
                <w:b w:val="0"/>
                <w:sz w:val="17"/>
              </w:rPr>
              <w:t>切换模式和邻站不一致</w:t>
            </w:r>
          </w:p>
        </w:tc>
        <w:tc>
          <w:tcPr>
            <w:tcW w:w="5328" w:type="dxa"/>
            <w:vAlign w:val="center"/>
          </w:tcPr>
          <w:p w14:paraId="0DB20E28">
            <w:pPr>
              <w:spacing w:before="0" w:after="0"/>
            </w:pPr>
            <w:r>
              <w:rPr>
                <w:b w:val="0"/>
                <w:sz w:val="17"/>
              </w:rPr>
              <w:t>核对两端切换模式；涉及远程切换时必须按现场授权流程执行。</w:t>
            </w:r>
          </w:p>
        </w:tc>
      </w:tr>
      <w:tr w14:paraId="30374835">
        <w:trPr>
          <w:jc w:val="center"/>
        </w:trPr>
        <w:tc>
          <w:tcPr>
            <w:tcW w:w="1512" w:type="dxa"/>
            <w:vAlign w:val="center"/>
          </w:tcPr>
          <w:p w14:paraId="09081A6C">
            <w:pPr>
              <w:spacing w:before="0" w:after="0"/>
            </w:pPr>
            <w:r>
              <w:rPr>
                <w:b w:val="0"/>
                <w:sz w:val="17"/>
              </w:rPr>
              <w:t>162、164、252、254、342、344、432、434</w:t>
            </w:r>
          </w:p>
        </w:tc>
        <w:tc>
          <w:tcPr>
            <w:tcW w:w="2520" w:type="dxa"/>
            <w:vAlign w:val="center"/>
          </w:tcPr>
          <w:p w14:paraId="05E237D0">
            <w:pPr>
              <w:spacing w:before="0" w:after="0"/>
            </w:pPr>
            <w:r>
              <w:rPr>
                <w:b w:val="0"/>
                <w:sz w:val="17"/>
              </w:rPr>
              <w:t>站间通道或通信板故障</w:t>
            </w:r>
          </w:p>
        </w:tc>
        <w:tc>
          <w:tcPr>
            <w:tcW w:w="5328" w:type="dxa"/>
            <w:vAlign w:val="center"/>
          </w:tcPr>
          <w:p w14:paraId="7FD99F52">
            <w:pPr>
              <w:spacing w:before="0" w:after="0"/>
            </w:pPr>
            <w:r>
              <w:rPr>
                <w:b w:val="0"/>
                <w:sz w:val="17"/>
              </w:rPr>
              <w:t>通知通道两端检查通信链路；通道正常但告警持续时，按维护规程检查通信板。</w:t>
            </w:r>
          </w:p>
        </w:tc>
      </w:tr>
      <w:tr w14:paraId="28A19D45">
        <w:trPr>
          <w:jc w:val="center"/>
        </w:trPr>
        <w:tc>
          <w:tcPr>
            <w:tcW w:w="1512" w:type="dxa"/>
            <w:vAlign w:val="center"/>
          </w:tcPr>
          <w:p w14:paraId="242FCFBF">
            <w:pPr>
              <w:spacing w:before="0" w:after="0"/>
            </w:pPr>
            <w:r>
              <w:rPr>
                <w:b w:val="0"/>
                <w:sz w:val="17"/>
              </w:rPr>
              <w:t>190、280、370、460</w:t>
            </w:r>
          </w:p>
        </w:tc>
        <w:tc>
          <w:tcPr>
            <w:tcW w:w="2520" w:type="dxa"/>
            <w:vAlign w:val="center"/>
          </w:tcPr>
          <w:p w14:paraId="55E27597">
            <w:pPr>
              <w:spacing w:before="0" w:after="0"/>
            </w:pPr>
            <w:r>
              <w:rPr>
                <w:b w:val="0"/>
                <w:sz w:val="17"/>
              </w:rPr>
              <w:t>CPU 板离线</w:t>
            </w:r>
          </w:p>
        </w:tc>
        <w:tc>
          <w:tcPr>
            <w:tcW w:w="5328" w:type="dxa"/>
            <w:vAlign w:val="center"/>
          </w:tcPr>
          <w:p w14:paraId="5B50510F">
            <w:pPr>
              <w:spacing w:before="0" w:after="0"/>
            </w:pPr>
            <w:r>
              <w:rPr>
                <w:b w:val="0"/>
                <w:sz w:val="17"/>
              </w:rPr>
              <w:t>通知现场人员检查 CPU 板状态，必要时按规程重启设备，再通过网管确认告警是否解除。</w:t>
            </w:r>
          </w:p>
        </w:tc>
      </w:tr>
    </w:tbl>
    <w:p w14:paraId="438E2BE9">
      <w:pPr>
        <w:pStyle w:val="4"/>
        <w:pageBreakBefore/>
      </w:pPr>
      <w:r>
        <w:t>SY 常用告警码处理建议</w:t>
      </w:r>
    </w:p>
    <w:p w14:paraId="70505CE2">
      <w:r>
        <w:t>下表根据 SY 告警处理建议整理为客户值守口径。现场处理应先确认设备、方向、邻站和当前运行模式；按建议处理后告警仍未解除时，请联系设备厂家人员。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2232"/>
        <w:gridCol w:w="5760"/>
      </w:tblGrid>
      <w:tr w14:paraId="1F9807D5">
        <w:trPr>
          <w:jc w:val="center"/>
        </w:trPr>
        <w:tc>
          <w:tcPr>
            <w:tcW w:w="1368" w:type="dxa"/>
            <w:shd w:val="clear" w:color="auto" w:fill="EAF2F8"/>
            <w:vAlign w:val="center"/>
          </w:tcPr>
          <w:p w14:paraId="1C572DAF">
            <w:pPr>
              <w:spacing w:before="0" w:after="0"/>
            </w:pPr>
            <w:r>
              <w:rPr>
                <w:b/>
                <w:sz w:val="17"/>
              </w:rPr>
              <w:t>告警码</w:t>
            </w:r>
          </w:p>
        </w:tc>
        <w:tc>
          <w:tcPr>
            <w:tcW w:w="2232" w:type="dxa"/>
            <w:shd w:val="clear" w:color="auto" w:fill="EAF2F8"/>
            <w:vAlign w:val="center"/>
          </w:tcPr>
          <w:p w14:paraId="068A40C4">
            <w:pPr>
              <w:spacing w:before="0" w:after="0"/>
            </w:pPr>
            <w:r>
              <w:rPr>
                <w:b/>
                <w:sz w:val="17"/>
              </w:rPr>
              <w:t>含义</w:t>
            </w:r>
          </w:p>
        </w:tc>
        <w:tc>
          <w:tcPr>
            <w:tcW w:w="5760" w:type="dxa"/>
            <w:shd w:val="clear" w:color="auto" w:fill="EAF2F8"/>
            <w:vAlign w:val="center"/>
          </w:tcPr>
          <w:p w14:paraId="3BBB871D">
            <w:pPr>
              <w:spacing w:before="0" w:after="0"/>
            </w:pPr>
            <w:r>
              <w:rPr>
                <w:b/>
                <w:sz w:val="17"/>
              </w:rPr>
              <w:t>建议处理</w:t>
            </w:r>
          </w:p>
        </w:tc>
      </w:tr>
      <w:tr w14:paraId="487A8B75">
        <w:trPr>
          <w:jc w:val="center"/>
        </w:trPr>
        <w:tc>
          <w:tcPr>
            <w:tcW w:w="1368" w:type="dxa"/>
            <w:vAlign w:val="center"/>
          </w:tcPr>
          <w:p w14:paraId="52722FE7">
            <w:pPr>
              <w:spacing w:before="0" w:after="0"/>
            </w:pPr>
            <w:r>
              <w:rPr>
                <w:sz w:val="17"/>
              </w:rPr>
              <w:t>0</w:t>
            </w:r>
          </w:p>
        </w:tc>
        <w:tc>
          <w:tcPr>
            <w:tcW w:w="2232" w:type="dxa"/>
            <w:vAlign w:val="center"/>
          </w:tcPr>
          <w:p w14:paraId="50450C76">
            <w:pPr>
              <w:spacing w:before="0" w:after="0"/>
            </w:pPr>
            <w:r>
              <w:rPr>
                <w:sz w:val="17"/>
              </w:rPr>
              <w:t>设备网管连接中断</w:t>
            </w:r>
          </w:p>
        </w:tc>
        <w:tc>
          <w:tcPr>
            <w:tcW w:w="5760" w:type="dxa"/>
            <w:vAlign w:val="center"/>
          </w:tcPr>
          <w:p w14:paraId="000EE5FE">
            <w:pPr>
              <w:spacing w:before="0" w:after="0"/>
            </w:pPr>
            <w:r>
              <w:rPr>
                <w:sz w:val="17"/>
              </w:rPr>
              <w:t>单站中断：查两个方向 B 通道、2M 接头、光纤衰耗、主机串口、CPU 板和通信板。多站中断：查托管端站网管通道和上位机端协议转换器。</w:t>
            </w:r>
          </w:p>
        </w:tc>
      </w:tr>
      <w:tr w14:paraId="56D4A7A8">
        <w:trPr>
          <w:jc w:val="center"/>
        </w:trPr>
        <w:tc>
          <w:tcPr>
            <w:tcW w:w="1368" w:type="dxa"/>
            <w:vAlign w:val="center"/>
          </w:tcPr>
          <w:p w14:paraId="777181F2">
            <w:pPr>
              <w:spacing w:before="0" w:after="0"/>
            </w:pPr>
            <w:r>
              <w:rPr>
                <w:sz w:val="17"/>
              </w:rPr>
              <w:t>42、43、46、47</w:t>
            </w:r>
          </w:p>
        </w:tc>
        <w:tc>
          <w:tcPr>
            <w:tcW w:w="2232" w:type="dxa"/>
            <w:vAlign w:val="center"/>
          </w:tcPr>
          <w:p w14:paraId="171064B6">
            <w:pPr>
              <w:spacing w:before="0" w:after="0"/>
            </w:pPr>
            <w:r>
              <w:rPr>
                <w:sz w:val="17"/>
              </w:rPr>
              <w:t>方向通道通信故障</w:t>
            </w:r>
          </w:p>
        </w:tc>
        <w:tc>
          <w:tcPr>
            <w:tcW w:w="5760" w:type="dxa"/>
            <w:vAlign w:val="center"/>
          </w:tcPr>
          <w:p w14:paraId="1BFEDA85">
            <w:pPr>
              <w:spacing w:before="0" w:after="0"/>
            </w:pPr>
            <w:r>
              <w:rPr>
                <w:sz w:val="17"/>
              </w:rPr>
              <w:t>确认本站和邻站。按授权流程切换本站或邻站为备机观察；切换后恢复时查对应通信板，两站切换后仍未恢复时查 2M 或光纤通道。</w:t>
            </w:r>
          </w:p>
        </w:tc>
      </w:tr>
      <w:tr w14:paraId="1A3F1F36">
        <w:trPr>
          <w:jc w:val="center"/>
        </w:trPr>
        <w:tc>
          <w:tcPr>
            <w:tcW w:w="1368" w:type="dxa"/>
            <w:vAlign w:val="center"/>
          </w:tcPr>
          <w:p w14:paraId="68E7AD35">
            <w:pPr>
              <w:spacing w:before="0" w:after="0"/>
            </w:pPr>
            <w:r>
              <w:rPr>
                <w:sz w:val="17"/>
              </w:rPr>
              <w:t>62、63</w:t>
            </w:r>
          </w:p>
        </w:tc>
        <w:tc>
          <w:tcPr>
            <w:tcW w:w="2232" w:type="dxa"/>
            <w:vAlign w:val="center"/>
          </w:tcPr>
          <w:p w14:paraId="4D7E7C17">
            <w:pPr>
              <w:spacing w:before="0" w:after="0"/>
            </w:pPr>
            <w:r>
              <w:rPr>
                <w:sz w:val="17"/>
              </w:rPr>
              <w:t>上行或下行电缆故障</w:t>
            </w:r>
          </w:p>
        </w:tc>
        <w:tc>
          <w:tcPr>
            <w:tcW w:w="5760" w:type="dxa"/>
            <w:vAlign w:val="center"/>
          </w:tcPr>
          <w:p w14:paraId="1215E755">
            <w:pPr>
              <w:spacing w:before="0" w:after="0"/>
            </w:pPr>
            <w:r>
              <w:rPr>
                <w:sz w:val="17"/>
              </w:rPr>
              <w:t>短时恢复或反复报警时查电缆质量、绝缘和共模干扰。长时间存在时按授权流程切换两端备机判断电缆监测板；仍未恢复时查区间电缆。</w:t>
            </w:r>
          </w:p>
        </w:tc>
      </w:tr>
      <w:tr w14:paraId="72CB8596">
        <w:trPr>
          <w:jc w:val="center"/>
        </w:trPr>
        <w:tc>
          <w:tcPr>
            <w:tcW w:w="1368" w:type="dxa"/>
            <w:vAlign w:val="center"/>
          </w:tcPr>
          <w:p w14:paraId="1EAAB0DF">
            <w:pPr>
              <w:spacing w:before="0" w:after="0"/>
            </w:pPr>
            <w:r>
              <w:rPr>
                <w:sz w:val="17"/>
              </w:rPr>
              <w:t>66、67</w:t>
            </w:r>
          </w:p>
        </w:tc>
        <w:tc>
          <w:tcPr>
            <w:tcW w:w="2232" w:type="dxa"/>
            <w:vAlign w:val="center"/>
          </w:tcPr>
          <w:p w14:paraId="3645B9C2">
            <w:pPr>
              <w:spacing w:before="0" w:after="0"/>
            </w:pPr>
            <w:r>
              <w:rPr>
                <w:sz w:val="17"/>
              </w:rPr>
              <w:t>一方向或二方向为电缆状态</w:t>
            </w:r>
          </w:p>
        </w:tc>
        <w:tc>
          <w:tcPr>
            <w:tcW w:w="5760" w:type="dxa"/>
            <w:vAlign w:val="center"/>
          </w:tcPr>
          <w:p w14:paraId="6DCBA60C">
            <w:pPr>
              <w:spacing w:before="0" w:after="0"/>
            </w:pPr>
            <w:r>
              <w:rPr>
                <w:sz w:val="17"/>
              </w:rPr>
              <w:t>两个数字通道均断开时，设备可能自动切换至电缆，可参考通道故障处理；仍有数字通道正常时，查主机 I/O 板或接口箱。</w:t>
            </w:r>
          </w:p>
        </w:tc>
      </w:tr>
      <w:tr w14:paraId="6BAAF3D3">
        <w:trPr>
          <w:jc w:val="center"/>
        </w:trPr>
        <w:tc>
          <w:tcPr>
            <w:tcW w:w="1368" w:type="dxa"/>
            <w:vAlign w:val="center"/>
          </w:tcPr>
          <w:p w14:paraId="032FA8B5">
            <w:pPr>
              <w:spacing w:before="0" w:after="0"/>
            </w:pPr>
            <w:r>
              <w:rPr>
                <w:sz w:val="17"/>
              </w:rPr>
              <w:t>70</w:t>
            </w:r>
          </w:p>
        </w:tc>
        <w:tc>
          <w:tcPr>
            <w:tcW w:w="2232" w:type="dxa"/>
            <w:vAlign w:val="center"/>
          </w:tcPr>
          <w:p w14:paraId="269D54E0">
            <w:pPr>
              <w:spacing w:before="0" w:after="0"/>
            </w:pPr>
            <w:r>
              <w:rPr>
                <w:sz w:val="17"/>
              </w:rPr>
              <w:t>主机故障</w:t>
            </w:r>
          </w:p>
        </w:tc>
        <w:tc>
          <w:tcPr>
            <w:tcW w:w="5760" w:type="dxa"/>
            <w:vAlign w:val="center"/>
          </w:tcPr>
          <w:p w14:paraId="53FA5597">
            <w:pPr>
              <w:spacing w:before="0" w:after="0"/>
            </w:pPr>
            <w:r>
              <w:rPr>
                <w:sz w:val="17"/>
              </w:rPr>
              <w:t>按现场流程重启主机；未恢复时检查或更换主机电源板、CPU 板。</w:t>
            </w:r>
          </w:p>
        </w:tc>
      </w:tr>
      <w:tr w14:paraId="73BE618D">
        <w:trPr>
          <w:jc w:val="center"/>
        </w:trPr>
        <w:tc>
          <w:tcPr>
            <w:tcW w:w="1368" w:type="dxa"/>
            <w:vAlign w:val="center"/>
          </w:tcPr>
          <w:p w14:paraId="7F9E2C92">
            <w:pPr>
              <w:spacing w:before="0" w:after="0"/>
            </w:pPr>
            <w:r>
              <w:rPr>
                <w:sz w:val="17"/>
              </w:rPr>
              <w:t>71</w:t>
            </w:r>
          </w:p>
        </w:tc>
        <w:tc>
          <w:tcPr>
            <w:tcW w:w="2232" w:type="dxa"/>
            <w:vAlign w:val="center"/>
          </w:tcPr>
          <w:p w14:paraId="49289A5C">
            <w:pPr>
              <w:spacing w:before="0" w:after="0"/>
            </w:pPr>
            <w:r>
              <w:rPr>
                <w:sz w:val="17"/>
              </w:rPr>
              <w:t>备机故障</w:t>
            </w:r>
          </w:p>
        </w:tc>
        <w:tc>
          <w:tcPr>
            <w:tcW w:w="5760" w:type="dxa"/>
            <w:vAlign w:val="center"/>
          </w:tcPr>
          <w:p w14:paraId="15661F78">
            <w:pPr>
              <w:spacing w:before="0" w:after="0"/>
            </w:pPr>
            <w:r>
              <w:rPr>
                <w:sz w:val="17"/>
              </w:rPr>
              <w:t>按现场流程重启备机；未恢复时检查或更换备机电源板、CPU 板。</w:t>
            </w:r>
          </w:p>
        </w:tc>
      </w:tr>
      <w:tr w14:paraId="2FF71C3E">
        <w:trPr>
          <w:jc w:val="center"/>
        </w:trPr>
        <w:tc>
          <w:tcPr>
            <w:tcW w:w="1368" w:type="dxa"/>
            <w:vAlign w:val="center"/>
          </w:tcPr>
          <w:p w14:paraId="55E51A07">
            <w:pPr>
              <w:spacing w:before="0" w:after="0"/>
            </w:pPr>
            <w:r>
              <w:rPr>
                <w:sz w:val="17"/>
              </w:rPr>
              <w:t>73</w:t>
            </w:r>
          </w:p>
        </w:tc>
        <w:tc>
          <w:tcPr>
            <w:tcW w:w="2232" w:type="dxa"/>
            <w:vAlign w:val="center"/>
          </w:tcPr>
          <w:p w14:paraId="7D773900">
            <w:pPr>
              <w:spacing w:before="0" w:after="0"/>
            </w:pPr>
            <w:r>
              <w:rPr>
                <w:sz w:val="17"/>
              </w:rPr>
              <w:t>备机未同步</w:t>
            </w:r>
          </w:p>
        </w:tc>
        <w:tc>
          <w:tcPr>
            <w:tcW w:w="5760" w:type="dxa"/>
            <w:vAlign w:val="center"/>
          </w:tcPr>
          <w:p w14:paraId="3DBE4E7E">
            <w:pPr>
              <w:spacing w:before="0" w:after="0"/>
            </w:pPr>
            <w:r>
              <w:rPr>
                <w:sz w:val="17"/>
              </w:rPr>
              <w:t>检查备机同步状态；必要时按维护流程更换备机 CPU 板。</w:t>
            </w:r>
          </w:p>
        </w:tc>
      </w:tr>
      <w:tr w14:paraId="383A05E7">
        <w:trPr>
          <w:jc w:val="center"/>
        </w:trPr>
        <w:tc>
          <w:tcPr>
            <w:tcW w:w="1368" w:type="dxa"/>
            <w:vAlign w:val="center"/>
          </w:tcPr>
          <w:p w14:paraId="7E9B866B">
            <w:pPr>
              <w:spacing w:before="0" w:after="0"/>
            </w:pPr>
            <w:r>
              <w:rPr>
                <w:sz w:val="17"/>
              </w:rPr>
              <w:t>75</w:t>
            </w:r>
          </w:p>
        </w:tc>
        <w:tc>
          <w:tcPr>
            <w:tcW w:w="2232" w:type="dxa"/>
            <w:vAlign w:val="center"/>
          </w:tcPr>
          <w:p w14:paraId="63C98E0A">
            <w:pPr>
              <w:spacing w:before="0" w:after="0"/>
            </w:pPr>
            <w:r>
              <w:rPr>
                <w:sz w:val="17"/>
              </w:rPr>
              <w:t>励磁故障</w:t>
            </w:r>
          </w:p>
        </w:tc>
        <w:tc>
          <w:tcPr>
            <w:tcW w:w="5760" w:type="dxa"/>
            <w:vAlign w:val="center"/>
          </w:tcPr>
          <w:p w14:paraId="5ACDA22E">
            <w:pPr>
              <w:spacing w:before="0" w:after="0"/>
            </w:pPr>
            <w:r>
              <w:rPr>
                <w:sz w:val="17"/>
              </w:rPr>
              <w:t>重点检查主机 I/O 板和接口箱，必要时按现场维护流程更换。</w:t>
            </w:r>
          </w:p>
        </w:tc>
      </w:tr>
    </w:tbl>
    <w:p w14:paraId="164B3C60">
      <w:pPr>
        <w:pStyle w:val="3"/>
        <w:pageBreakBefore/>
      </w:pPr>
      <w:r>
        <w:rPr>
          <w:rFonts w:ascii="微软雅黑" w:hAnsi="微软雅黑" w:eastAsia="微软雅黑"/>
          <w:b w:val="0"/>
          <w:color w:val="152033"/>
          <w:sz w:val="22"/>
        </w:rPr>
        <w:t>附录：操作检查清单</w:t>
      </w:r>
    </w:p>
    <w:tbl>
      <w:tblPr>
        <w:tblStyle w:val="32"/>
        <w:tblW w:w="9288" w:type="dxa"/>
        <w:tblInd w:w="120" w:type="dxa"/>
        <w:tblBorders>
          <w:top w:val="single" w:color="D7E0EC" w:sz="4" w:space="0"/>
          <w:left w:val="single" w:color="D7E0EC" w:sz="4" w:space="0"/>
          <w:bottom w:val="single" w:color="D7E0EC" w:sz="4" w:space="0"/>
          <w:right w:val="single" w:color="D7E0EC" w:sz="4" w:space="0"/>
          <w:insideH w:val="single" w:color="D7E0EC" w:sz="4" w:space="0"/>
          <w:insideV w:val="single" w:color="D7E0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6BB9ADC"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0E16A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场景</w:t>
            </w:r>
          </w:p>
        </w:tc>
        <w:tc>
          <w:tcPr>
            <w:tcW w:w="37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87A50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操作前确认</w:t>
            </w:r>
          </w:p>
        </w:tc>
        <w:tc>
          <w:tcPr>
            <w:tcW w:w="367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B66FA">
            <w:pPr>
              <w:spacing w:after="0"/>
            </w:pPr>
            <w:r>
              <w:rPr>
                <w:rFonts w:ascii="Calibri" w:hAnsi="Calibri" w:eastAsia="微软雅黑"/>
                <w:b/>
                <w:color w:val="152033"/>
                <w:sz w:val="18"/>
              </w:rPr>
              <w:t>操作后确认</w:t>
            </w:r>
          </w:p>
        </w:tc>
      </w:tr>
      <w:tr w14:paraId="3EAA0360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37D19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确认告警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B09E5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确认设备、告警含义、起始时间和现场处置要求。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8FDF7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告警变为已确认；必要时在交接班记录中说明。</w:t>
            </w:r>
          </w:p>
        </w:tc>
      </w:tr>
      <w:tr w14:paraId="3AC73FAF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821AB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查询记录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0E8FB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确认系统、时间范围、线路和设备筛选条件。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6D990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导出或记录关键时间点、设备和操作人。</w:t>
            </w:r>
          </w:p>
        </w:tc>
      </w:tr>
      <w:tr w14:paraId="00619A3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003E4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修改系统设置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885FB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记录原值，确认修改依据，具备超级用户权限。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6EFD6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保存成功后观察系统运行和后台任务。</w:t>
            </w:r>
          </w:p>
        </w:tc>
      </w:tr>
      <w:tr w14:paraId="5AB5C839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3CED7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远程控制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06727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确认授权、设备、方向、邻站、当前状态和调度要求。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A8F81">
            <w:pPr>
              <w:spacing w:after="0"/>
            </w:pPr>
            <w:r>
              <w:rPr>
                <w:rFonts w:ascii="Calibri" w:hAnsi="Calibri" w:eastAsia="微软雅黑"/>
                <w:b w:val="0"/>
                <w:color w:val="152033"/>
                <w:sz w:val="18"/>
              </w:rPr>
              <w:t>查看提示、状态变化、告警和用户操作记录。</w:t>
            </w:r>
          </w:p>
        </w:tc>
      </w:tr>
    </w:tbl>
    <w:p w14:paraId="2C1EF647">
      <w:r>
        <w:rPr>
          <w:rFonts w:ascii="微软雅黑" w:hAnsi="微软雅黑" w:eastAsia="微软雅黑"/>
        </w:rPr>
        <w:br w:type="page"/>
      </w:r>
    </w:p>
    <w:p w14:paraId="5C328DDD">
      <w:pPr>
        <w:pStyle w:val="3"/>
        <w:pageBreakBefore/>
      </w:pPr>
      <w:r>
        <w:rPr>
          <w:rFonts w:ascii="微软雅黑" w:hAnsi="微软雅黑" w:eastAsia="微软雅黑"/>
          <w:b w:val="0"/>
          <w:color w:val="152033"/>
          <w:sz w:val="22"/>
        </w:rPr>
        <w:t>附录：截图索引</w:t>
      </w:r>
    </w:p>
    <w:p w14:paraId="7BE4716C">
      <w:pPr>
        <w:jc w:val="center"/>
      </w:pPr>
      <w:r>
        <w:drawing>
          <wp:inline distT="0" distB="0" distL="114300" distR="114300">
            <wp:extent cx="5943600" cy="4815205"/>
            <wp:effectExtent l="0" t="0" r="0" b="1079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0B53">
      <w:pPr>
        <w:spacing w:after="120" w:line="283" w:lineRule="auto"/>
        <w:jc w:val="center"/>
      </w:pPr>
      <w:r>
        <w:t>图 18 说明书截图索引（界面示例）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7C5FCC">
    <w:pPr>
      <w:pStyle w:val="24"/>
      <w:jc w:val="center"/>
    </w:pPr>
    <w:r>
      <w:rPr>
        <w:rFonts w:ascii="微软雅黑" w:hAnsi="微软雅黑" w:eastAsia="微软雅黑"/>
        <w:color w:val="1F2937"/>
        <w:sz w:val="17"/>
      </w:rPr>
      <w:t>用户手册 | 界面显示以现场系统为准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DD5AB9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E6A6D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C0BD0">
    <w:pPr>
      <w:pStyle w:val="25"/>
      <w:jc w:val="right"/>
    </w:pPr>
    <w:r>
      <w:rPr>
        <w:rFonts w:ascii="Calibri" w:hAnsi="Calibri" w:eastAsia="微软雅黑"/>
        <w:color w:val="5B6B80"/>
        <w:sz w:val="18"/>
      </w:rPr>
      <w:t>FNTL-MS100 贝通云网管系统用户手册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33DEC9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9D74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4"/>
    <w:lvlOverride w:ilvl="0">
      <w:startOverride w:val="1"/>
    </w:lvlOverride>
  </w:num>
  <w:num w:numId="19">
    <w:abstractNumId w:val="4"/>
    <w:lvlOverride w:ilvl="0">
      <w:startOverride w:val="1"/>
    </w:lvlOverride>
  </w:num>
  <w:num w:numId="20">
    <w:abstractNumId w:val="4"/>
    <w:lvlOverride w:ilvl="0">
      <w:startOverride w:val="1"/>
    </w:lvlOverride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FD63C9"/>
    <w:rsid w:val="3FDEE5ED"/>
    <w:rsid w:val="57AFAE40"/>
    <w:rsid w:val="6E1DEC01"/>
    <w:rsid w:val="7BFE5DA9"/>
    <w:rsid w:val="7DBDEB98"/>
    <w:rsid w:val="AEA7433E"/>
    <w:rsid w:val="BDCF53EF"/>
    <w:rsid w:val="BDDE4C1F"/>
    <w:rsid w:val="D7779917"/>
    <w:rsid w:val="FCBFE85F"/>
    <w:rsid w:val="FFB78C92"/>
    <w:rsid w:val="FFDB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30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30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30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customXml" Target="../customXml/item1.xml"/><Relationship Id="rId35" Type="http://schemas.openxmlformats.org/officeDocument/2006/relationships/numbering" Target="numbering.xml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Codex</dc:creator>
  <dc:description>Generated from sanitized local demo screenshots.</dc:description>
  <cp:lastModifiedBy>杨子江</cp:lastModifiedBy>
  <dcterms:modified xsi:type="dcterms:W3CDTF">2026-05-26T15:25:35Z</dcterms:modified>
  <dc:subject>客户操作手册</dc:subject>
  <dc:title>FNTL-MS100 贝通云网管系统用户手册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00D9740B6CDCAC35B3C30F6AA00B66C0_42</vt:lpwstr>
  </property>
</Properties>
</file>