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D427B" w14:textId="4B69D4C0" w:rsidR="001E4378" w:rsidRDefault="001E4378" w:rsidP="00351A79">
      <w:pPr>
        <w:shd w:val="clear" w:color="auto" w:fill="FDFDFD"/>
        <w:spacing w:after="225" w:line="308" w:lineRule="atLeast"/>
        <w:outlineLvl w:val="4"/>
      </w:pPr>
      <w:r>
        <w:t>Source:</w:t>
      </w:r>
      <w:bookmarkStart w:id="0" w:name="_GoBack"/>
      <w:bookmarkEnd w:id="0"/>
    </w:p>
    <w:p w14:paraId="18B6CC7F" w14:textId="17634CD1" w:rsidR="00F30E61" w:rsidRDefault="001E4378" w:rsidP="00351A79">
      <w:pPr>
        <w:shd w:val="clear" w:color="auto" w:fill="FDFDFD"/>
        <w:spacing w:after="225" w:line="308" w:lineRule="atLeast"/>
        <w:outlineLvl w:val="4"/>
        <w:rPr>
          <w:rFonts w:ascii="Arial" w:eastAsia="Times New Roman" w:hAnsi="Arial" w:cs="Arial"/>
          <w:color w:val="111111"/>
          <w:sz w:val="20"/>
          <w:szCs w:val="20"/>
        </w:rPr>
      </w:pPr>
      <w:r>
        <w:fldChar w:fldCharType="begin"/>
      </w:r>
      <w:r>
        <w:instrText xml:space="preserve"> HYPERLINK "</w:instrText>
      </w:r>
      <w:r w:rsidRPr="001E4378">
        <w:instrText>https://www.learncax.com/knowledge-base/blog/by-category/cfd/recirculation-boundary-conditions-in-ansys-fluent</w:instrText>
      </w:r>
      <w:r>
        <w:instrText xml:space="preserve">" </w:instrText>
      </w:r>
      <w:r>
        <w:fldChar w:fldCharType="separate"/>
      </w:r>
      <w:r w:rsidRPr="006C59DC">
        <w:rPr>
          <w:rStyle w:val="Hyperlink"/>
        </w:rPr>
        <w:t>https://www.learncax.com/knowledge-base/blog/by-category/cfd/recirculation-boundary-conditions-in-ansys-fluent</w:t>
      </w:r>
      <w:r>
        <w:fldChar w:fldCharType="end"/>
      </w:r>
    </w:p>
    <w:p w14:paraId="407CED76" w14:textId="2F778F07" w:rsidR="00351A79" w:rsidRPr="00351A79" w:rsidRDefault="00351A79" w:rsidP="00351A79">
      <w:pPr>
        <w:shd w:val="clear" w:color="auto" w:fill="FDFDFD"/>
        <w:spacing w:after="225" w:line="308" w:lineRule="atLeast"/>
        <w:outlineLvl w:val="4"/>
        <w:rPr>
          <w:rFonts w:ascii="Arial" w:eastAsia="Times New Roman" w:hAnsi="Arial" w:cs="Arial"/>
          <w:color w:val="111111"/>
          <w:sz w:val="20"/>
          <w:szCs w:val="20"/>
        </w:rPr>
      </w:pPr>
      <w:r w:rsidRPr="00351A79">
        <w:rPr>
          <w:rFonts w:ascii="Arial" w:eastAsia="Times New Roman" w:hAnsi="Arial" w:cs="Arial"/>
          <w:color w:val="111111"/>
          <w:sz w:val="20"/>
          <w:szCs w:val="20"/>
        </w:rPr>
        <w:t>How to implement this boundary condition in ANSYS FLUENT?</w:t>
      </w:r>
    </w:p>
    <w:p w14:paraId="13AE9DD0" w14:textId="77777777" w:rsidR="00351A79" w:rsidRPr="00351A79" w:rsidRDefault="00351A79" w:rsidP="00351A79">
      <w:pPr>
        <w:spacing w:after="0" w:line="240" w:lineRule="auto"/>
        <w:rPr>
          <w:rFonts w:ascii="Times New Roman" w:eastAsia="Times New Roman" w:hAnsi="Times New Roman" w:cs="Times New Roman"/>
          <w:sz w:val="24"/>
          <w:szCs w:val="24"/>
        </w:rPr>
      </w:pPr>
      <w:r w:rsidRPr="00351A79">
        <w:rPr>
          <w:rFonts w:ascii="Times New Roman" w:eastAsia="Times New Roman" w:hAnsi="Times New Roman" w:cs="Times New Roman"/>
          <w:sz w:val="24"/>
          <w:szCs w:val="24"/>
        </w:rPr>
        <w:pict w14:anchorId="755371B1">
          <v:rect id="_x0000_i1025" style="width:0;height:0" o:hralign="center" o:hrstd="t" o:hrnoshade="t" o:hr="t" fillcolor="#111" stroked="f"/>
        </w:pict>
      </w:r>
    </w:p>
    <w:p w14:paraId="2CE8F527"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 xml:space="preserve">In ANSYS FLUENT, recirculation inlet, outlet boundary conditions are not available by default. You </w:t>
      </w:r>
      <w:proofErr w:type="gramStart"/>
      <w:r w:rsidRPr="00351A79">
        <w:rPr>
          <w:rFonts w:ascii="Segoe UI" w:eastAsia="Times New Roman" w:hAnsi="Segoe UI" w:cs="Segoe UI"/>
          <w:color w:val="111111"/>
          <w:sz w:val="24"/>
          <w:szCs w:val="24"/>
        </w:rPr>
        <w:t>have to</w:t>
      </w:r>
      <w:proofErr w:type="gramEnd"/>
      <w:r w:rsidRPr="00351A79">
        <w:rPr>
          <w:rFonts w:ascii="Segoe UI" w:eastAsia="Times New Roman" w:hAnsi="Segoe UI" w:cs="Segoe UI"/>
          <w:color w:val="111111"/>
          <w:sz w:val="24"/>
          <w:szCs w:val="24"/>
        </w:rPr>
        <w:t xml:space="preserve"> enable them from TUI.</w:t>
      </w:r>
    </w:p>
    <w:p w14:paraId="0011A2AD"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Following are the commands which are required to turn ON this boundary condition.</w:t>
      </w:r>
    </w:p>
    <w:p w14:paraId="3F9A8197" w14:textId="77777777" w:rsidR="00351A79" w:rsidRPr="00351A79" w:rsidRDefault="00351A79" w:rsidP="00351A7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rPr>
      </w:pPr>
      <w:r w:rsidRPr="00351A79">
        <w:rPr>
          <w:rFonts w:ascii="Courier New" w:eastAsia="Times New Roman" w:hAnsi="Courier New" w:cs="Courier New"/>
          <w:color w:val="111111"/>
          <w:sz w:val="23"/>
          <w:szCs w:val="23"/>
        </w:rPr>
        <w:t>(</w:t>
      </w:r>
      <w:proofErr w:type="spellStart"/>
      <w:r w:rsidRPr="00351A79">
        <w:rPr>
          <w:rFonts w:ascii="Courier New" w:eastAsia="Times New Roman" w:hAnsi="Courier New" w:cs="Courier New"/>
          <w:color w:val="111111"/>
          <w:sz w:val="23"/>
          <w:szCs w:val="23"/>
        </w:rPr>
        <w:t>rpsetvar</w:t>
      </w:r>
      <w:proofErr w:type="spellEnd"/>
      <w:r w:rsidRPr="00351A79">
        <w:rPr>
          <w:rFonts w:ascii="Courier New" w:eastAsia="Times New Roman" w:hAnsi="Courier New" w:cs="Courier New"/>
          <w:color w:val="111111"/>
          <w:sz w:val="23"/>
          <w:szCs w:val="23"/>
        </w:rPr>
        <w:t xml:space="preserve"> '</w:t>
      </w:r>
      <w:proofErr w:type="spellStart"/>
      <w:r w:rsidRPr="00351A79">
        <w:rPr>
          <w:rFonts w:ascii="Courier New" w:eastAsia="Times New Roman" w:hAnsi="Courier New" w:cs="Courier New"/>
          <w:color w:val="111111"/>
          <w:sz w:val="23"/>
          <w:szCs w:val="23"/>
        </w:rPr>
        <w:t>icepak</w:t>
      </w:r>
      <w:proofErr w:type="spellEnd"/>
      <w:r w:rsidRPr="00351A79">
        <w:rPr>
          <w:rFonts w:ascii="Courier New" w:eastAsia="Times New Roman" w:hAnsi="Courier New" w:cs="Courier New"/>
          <w:color w:val="111111"/>
          <w:sz w:val="23"/>
          <w:szCs w:val="23"/>
        </w:rPr>
        <w:t>? #t)</w:t>
      </w:r>
      <w:r w:rsidRPr="00351A79">
        <w:rPr>
          <w:rFonts w:ascii="Courier New" w:eastAsia="Times New Roman" w:hAnsi="Courier New" w:cs="Courier New"/>
          <w:color w:val="111111"/>
          <w:sz w:val="23"/>
          <w:szCs w:val="23"/>
        </w:rPr>
        <w:br/>
        <w:t>(models-changed)</w:t>
      </w:r>
    </w:p>
    <w:p w14:paraId="256A6748"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 xml:space="preserve">This boundary condition is very useful to model recirculation appliances such as heating or cooling devices. In such </w:t>
      </w:r>
      <w:proofErr w:type="gramStart"/>
      <w:r w:rsidRPr="00351A79">
        <w:rPr>
          <w:rFonts w:ascii="Segoe UI" w:eastAsia="Times New Roman" w:hAnsi="Segoe UI" w:cs="Segoe UI"/>
          <w:color w:val="111111"/>
          <w:sz w:val="24"/>
          <w:szCs w:val="24"/>
        </w:rPr>
        <w:t>devices</w:t>
      </w:r>
      <w:proofErr w:type="gramEnd"/>
      <w:r w:rsidRPr="00351A79">
        <w:rPr>
          <w:rFonts w:ascii="Segoe UI" w:eastAsia="Times New Roman" w:hAnsi="Segoe UI" w:cs="Segoe UI"/>
          <w:color w:val="111111"/>
          <w:sz w:val="24"/>
          <w:szCs w:val="24"/>
        </w:rPr>
        <w:t xml:space="preserve"> fluid is supplied from one section into the simulation domain, this section is usually referred as inlet (or supply). Fluid is extracted out from other section which is usually referred as outlet (return); this extracted fluid is returned/recirculated back to supply section. Before recirculating this </w:t>
      </w:r>
      <w:proofErr w:type="gramStart"/>
      <w:r w:rsidRPr="00351A79">
        <w:rPr>
          <w:rFonts w:ascii="Segoe UI" w:eastAsia="Times New Roman" w:hAnsi="Segoe UI" w:cs="Segoe UI"/>
          <w:color w:val="111111"/>
          <w:sz w:val="24"/>
          <w:szCs w:val="24"/>
        </w:rPr>
        <w:t>fluid</w:t>
      </w:r>
      <w:proofErr w:type="gramEnd"/>
      <w:r w:rsidRPr="00351A79">
        <w:rPr>
          <w:rFonts w:ascii="Segoe UI" w:eastAsia="Times New Roman" w:hAnsi="Segoe UI" w:cs="Segoe UI"/>
          <w:color w:val="111111"/>
          <w:sz w:val="24"/>
          <w:szCs w:val="24"/>
        </w:rPr>
        <w:t xml:space="preserve"> it could be cooled down, heated up or returned without any temperature change. This depends on the type of the device (heating/cooling device).</w:t>
      </w:r>
    </w:p>
    <w:p w14:paraId="7E090C12"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This boundary condition needs a pair of inlet and outlet zone. Following section gives details about the setup for inlet and outlet in the pair.</w:t>
      </w:r>
    </w:p>
    <w:p w14:paraId="3C21035A"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t>Conditions at Inlet (Supply)</w:t>
      </w:r>
    </w:p>
    <w:p w14:paraId="598A746D"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Following inputs needs to be provided on the inlet partner of the pair</w:t>
      </w:r>
    </w:p>
    <w:p w14:paraId="2FA1668B" w14:textId="77777777" w:rsidR="00351A79" w:rsidRPr="00351A79" w:rsidRDefault="00351A79" w:rsidP="00351A79">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 xml:space="preserve">Its outlet </w:t>
      </w:r>
      <w:proofErr w:type="gramStart"/>
      <w:r w:rsidRPr="00351A79">
        <w:rPr>
          <w:rFonts w:ascii="Segoe UI" w:eastAsia="Times New Roman" w:hAnsi="Segoe UI" w:cs="Segoe UI"/>
          <w:color w:val="111111"/>
          <w:sz w:val="24"/>
          <w:szCs w:val="24"/>
        </w:rPr>
        <w:t>partner</w:t>
      </w:r>
      <w:proofErr w:type="gramEnd"/>
    </w:p>
    <w:p w14:paraId="5DE7C061" w14:textId="77777777" w:rsidR="00351A79" w:rsidRPr="00351A79" w:rsidRDefault="00351A79" w:rsidP="00351A79">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Temperature rise specification method</w:t>
      </w:r>
    </w:p>
    <w:p w14:paraId="1ECC39EF" w14:textId="77777777" w:rsidR="00351A79" w:rsidRPr="00351A79" w:rsidRDefault="00351A79" w:rsidP="00351A79">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Input for thermal conditions based on the temperature rise specification method selected</w:t>
      </w:r>
    </w:p>
    <w:p w14:paraId="1BD7407F" w14:textId="77777777" w:rsidR="00351A79" w:rsidRPr="00351A79" w:rsidRDefault="00351A79" w:rsidP="00351A79">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Flow direction</w:t>
      </w:r>
    </w:p>
    <w:p w14:paraId="2BD2043B" w14:textId="77777777" w:rsidR="00351A79" w:rsidRPr="00351A79" w:rsidRDefault="00351A79" w:rsidP="00351A79">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 xml:space="preserve">Other scalar properties </w:t>
      </w:r>
      <w:proofErr w:type="gramStart"/>
      <w:r w:rsidRPr="00351A79">
        <w:rPr>
          <w:rFonts w:ascii="Segoe UI" w:eastAsia="Times New Roman" w:hAnsi="Segoe UI" w:cs="Segoe UI"/>
          <w:color w:val="111111"/>
          <w:sz w:val="24"/>
          <w:szCs w:val="24"/>
        </w:rPr>
        <w:t>bases</w:t>
      </w:r>
      <w:proofErr w:type="gramEnd"/>
      <w:r w:rsidRPr="00351A79">
        <w:rPr>
          <w:rFonts w:ascii="Segoe UI" w:eastAsia="Times New Roman" w:hAnsi="Segoe UI" w:cs="Segoe UI"/>
          <w:color w:val="111111"/>
          <w:sz w:val="24"/>
          <w:szCs w:val="24"/>
        </w:rPr>
        <w:t xml:space="preserve"> on the models selected</w:t>
      </w:r>
    </w:p>
    <w:p w14:paraId="32F918D6"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Following figures shows typical setup for inlet partner of the pair.</w:t>
      </w:r>
    </w:p>
    <w:p w14:paraId="193A9593" w14:textId="7AE6310D"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lastRenderedPageBreak/>
        <w:drawing>
          <wp:inline distT="0" distB="0" distL="0" distR="0" wp14:anchorId="1D3D8A37" wp14:editId="100A6C37">
            <wp:extent cx="4953000" cy="2524125"/>
            <wp:effectExtent l="0" t="0" r="0" b="9525"/>
            <wp:docPr id="8" name="Picture 8" descr="re-inlet-temperature-rise-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inlet-temperature-rise-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524125"/>
                    </a:xfrm>
                    <a:prstGeom prst="rect">
                      <a:avLst/>
                    </a:prstGeom>
                    <a:noFill/>
                    <a:ln>
                      <a:noFill/>
                    </a:ln>
                  </pic:spPr>
                </pic:pic>
              </a:graphicData>
            </a:graphic>
          </wp:inline>
        </w:drawing>
      </w:r>
    </w:p>
    <w:p w14:paraId="7788D4FB" w14:textId="1DB11B86"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5CEC1DA5" wp14:editId="25D5FF55">
            <wp:extent cx="4953000" cy="2514600"/>
            <wp:effectExtent l="0" t="0" r="0" b="0"/>
            <wp:docPr id="7" name="Picture 7" descr="recirculation-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irculation-in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a:noFill/>
                    </a:ln>
                  </pic:spPr>
                </pic:pic>
              </a:graphicData>
            </a:graphic>
          </wp:inline>
        </w:drawing>
      </w:r>
    </w:p>
    <w:p w14:paraId="575FA44F" w14:textId="652DA76F"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693A2F96" wp14:editId="2ED2B9C6">
            <wp:extent cx="4962525" cy="3095625"/>
            <wp:effectExtent l="0" t="0" r="9525" b="9525"/>
            <wp:docPr id="6" name="Picture 6" descr="re-inlet-covection-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inlet-covection-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095625"/>
                    </a:xfrm>
                    <a:prstGeom prst="rect">
                      <a:avLst/>
                    </a:prstGeom>
                    <a:noFill/>
                    <a:ln>
                      <a:noFill/>
                    </a:ln>
                  </pic:spPr>
                </pic:pic>
              </a:graphicData>
            </a:graphic>
          </wp:inline>
        </w:drawing>
      </w:r>
    </w:p>
    <w:p w14:paraId="0B2F3FBF"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lastRenderedPageBreak/>
        <w:t>All other conditions including mass flow rate and thermal conditions are provided at outlet.</w:t>
      </w:r>
    </w:p>
    <w:p w14:paraId="2EAD3C15"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t>Conditions at Outlet (Return)</w:t>
      </w:r>
    </w:p>
    <w:p w14:paraId="46E6C639"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On the outlet partner of the pair, only mass flow needs to be provided. The mass flow can be provided using either mass flow rate or mass flux</w:t>
      </w:r>
    </w:p>
    <w:p w14:paraId="1E4F5552"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t>1. Mass flow rate</w:t>
      </w:r>
      <w:r w:rsidRPr="00351A79">
        <w:rPr>
          <w:rFonts w:ascii="Segoe UI" w:eastAsia="Times New Roman" w:hAnsi="Segoe UI" w:cs="Segoe UI"/>
          <w:color w:val="111111"/>
          <w:sz w:val="24"/>
          <w:szCs w:val="24"/>
        </w:rPr>
        <w:t>: We can specify total mass flow rate through supply section or extraction section. Following image shows snap shot of ANSYS FLUENT for specifying mass flow rate.</w:t>
      </w:r>
    </w:p>
    <w:p w14:paraId="6488F1BF" w14:textId="3D2706E7"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784075DD" wp14:editId="4222691B">
            <wp:extent cx="4581525" cy="1762125"/>
            <wp:effectExtent l="0" t="0" r="9525" b="9525"/>
            <wp:docPr id="5" name="Picture 5" descr="mass-flow-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s-flow-r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1762125"/>
                    </a:xfrm>
                    <a:prstGeom prst="rect">
                      <a:avLst/>
                    </a:prstGeom>
                    <a:noFill/>
                    <a:ln>
                      <a:noFill/>
                    </a:ln>
                  </pic:spPr>
                </pic:pic>
              </a:graphicData>
            </a:graphic>
          </wp:inline>
        </w:drawing>
      </w:r>
    </w:p>
    <w:p w14:paraId="74AF06BF"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t>2. Mass flow rate per unit area (mass flux)</w:t>
      </w:r>
      <w:r w:rsidRPr="00351A79">
        <w:rPr>
          <w:rFonts w:ascii="Segoe UI" w:eastAsia="Times New Roman" w:hAnsi="Segoe UI" w:cs="Segoe UI"/>
          <w:color w:val="111111"/>
          <w:sz w:val="24"/>
          <w:szCs w:val="24"/>
        </w:rPr>
        <w:t>:  Using this option we can specify mass flow rate per unit area. Following image shows snap shot of ANSYS FLUENT for specifying mass flux.</w:t>
      </w:r>
    </w:p>
    <w:p w14:paraId="79A2CFD5" w14:textId="335BB345"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5BF6A076" wp14:editId="676546D8">
            <wp:extent cx="4581525" cy="1790700"/>
            <wp:effectExtent l="0" t="0" r="9525" b="0"/>
            <wp:docPr id="4" name="Picture 4" descr="mass-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s-fl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790700"/>
                    </a:xfrm>
                    <a:prstGeom prst="rect">
                      <a:avLst/>
                    </a:prstGeom>
                    <a:noFill/>
                    <a:ln>
                      <a:noFill/>
                    </a:ln>
                  </pic:spPr>
                </pic:pic>
              </a:graphicData>
            </a:graphic>
          </wp:inline>
        </w:drawing>
      </w:r>
    </w:p>
    <w:p w14:paraId="760C27B8" w14:textId="77777777" w:rsidR="00351A79" w:rsidRPr="00351A79" w:rsidRDefault="00351A79" w:rsidP="00351A79">
      <w:pPr>
        <w:spacing w:after="0" w:line="240" w:lineRule="auto"/>
        <w:rPr>
          <w:rFonts w:ascii="Times New Roman" w:eastAsia="Times New Roman" w:hAnsi="Times New Roman" w:cs="Times New Roman"/>
          <w:sz w:val="24"/>
          <w:szCs w:val="24"/>
        </w:rPr>
      </w:pPr>
      <w:r w:rsidRPr="00351A79">
        <w:rPr>
          <w:rFonts w:ascii="Times New Roman" w:eastAsia="Times New Roman" w:hAnsi="Times New Roman" w:cs="Times New Roman"/>
          <w:sz w:val="24"/>
          <w:szCs w:val="24"/>
        </w:rPr>
        <w:pict w14:anchorId="1F76AE67">
          <v:rect id="_x0000_i1031" style="width:0;height:0" o:hralign="center" o:hrstd="t" o:hrnoshade="t" o:hr="t" fillcolor="#111" stroked="f"/>
        </w:pict>
      </w:r>
    </w:p>
    <w:p w14:paraId="4B5CBC19" w14:textId="77777777" w:rsidR="00351A79" w:rsidRPr="00351A79" w:rsidRDefault="00351A79" w:rsidP="00351A79">
      <w:pPr>
        <w:shd w:val="clear" w:color="auto" w:fill="FDFDFD"/>
        <w:spacing w:after="225" w:line="308" w:lineRule="atLeast"/>
        <w:outlineLvl w:val="4"/>
        <w:rPr>
          <w:rFonts w:ascii="Arial" w:eastAsia="Times New Roman" w:hAnsi="Arial" w:cs="Arial"/>
          <w:color w:val="111111"/>
          <w:sz w:val="20"/>
          <w:szCs w:val="20"/>
        </w:rPr>
      </w:pPr>
      <w:r w:rsidRPr="00351A79">
        <w:rPr>
          <w:rFonts w:ascii="Arial" w:eastAsia="Times New Roman" w:hAnsi="Arial" w:cs="Arial"/>
          <w:color w:val="111111"/>
          <w:sz w:val="20"/>
          <w:szCs w:val="20"/>
        </w:rPr>
        <w:t>Thermal condition calculations</w:t>
      </w:r>
    </w:p>
    <w:p w14:paraId="3FA8E778" w14:textId="77777777" w:rsidR="00351A79" w:rsidRPr="00351A79" w:rsidRDefault="00351A79" w:rsidP="00351A79">
      <w:pPr>
        <w:spacing w:after="0" w:line="240" w:lineRule="auto"/>
        <w:rPr>
          <w:rFonts w:ascii="Times New Roman" w:eastAsia="Times New Roman" w:hAnsi="Times New Roman" w:cs="Times New Roman"/>
          <w:sz w:val="24"/>
          <w:szCs w:val="24"/>
        </w:rPr>
      </w:pPr>
      <w:r w:rsidRPr="00351A79">
        <w:rPr>
          <w:rFonts w:ascii="Times New Roman" w:eastAsia="Times New Roman" w:hAnsi="Times New Roman" w:cs="Times New Roman"/>
          <w:sz w:val="24"/>
          <w:szCs w:val="24"/>
        </w:rPr>
        <w:pict w14:anchorId="270D6F99">
          <v:rect id="_x0000_i1032" style="width:0;height:0" o:hralign="center" o:hrstd="t" o:hrnoshade="t" o:hr="t" fillcolor="#111" stroked="f"/>
        </w:pict>
      </w:r>
    </w:p>
    <w:p w14:paraId="4DC4BF02"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When the fluid re-enters in the enclosed domain, its temperature may increase or decrease. The inlet (or supply) temperature calculation depends on Temperature Rise Specification Method Selected. There are three methods by which we can specify the fluid supply temperature (T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w:t>
      </w:r>
    </w:p>
    <w:p w14:paraId="0FE09675"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lastRenderedPageBreak/>
        <w:t>1. Temperature change/rise</w:t>
      </w:r>
    </w:p>
    <w:p w14:paraId="35F8BB1B"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In this method we can specify constant temperature change (ΔT) which is maintained with the help of heating or cooling device. 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 is calculated using following equation:</w:t>
      </w:r>
    </w:p>
    <w:p w14:paraId="222EC1EB"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 = T</w:t>
      </w:r>
      <w:r w:rsidRPr="00351A79">
        <w:rPr>
          <w:rFonts w:ascii="Segoe UI" w:eastAsia="Times New Roman" w:hAnsi="Segoe UI" w:cs="Segoe UI"/>
          <w:color w:val="111111"/>
          <w:sz w:val="18"/>
          <w:szCs w:val="18"/>
          <w:vertAlign w:val="subscript"/>
        </w:rPr>
        <w:t>OUT</w:t>
      </w:r>
      <w:r w:rsidRPr="00351A79">
        <w:rPr>
          <w:rFonts w:ascii="Segoe UI" w:eastAsia="Times New Roman" w:hAnsi="Segoe UI" w:cs="Segoe UI"/>
          <w:color w:val="111111"/>
          <w:sz w:val="24"/>
          <w:szCs w:val="24"/>
        </w:rPr>
        <w:t> + ΔT</w:t>
      </w:r>
    </w:p>
    <w:p w14:paraId="76D2164E" w14:textId="41E785DA"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497F13AD" wp14:editId="055C52F7">
            <wp:extent cx="4953000" cy="2524125"/>
            <wp:effectExtent l="0" t="0" r="0" b="9525"/>
            <wp:docPr id="3" name="Picture 3" descr="re-inlet-temperature-rise-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inlet-temperature-rise-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524125"/>
                    </a:xfrm>
                    <a:prstGeom prst="rect">
                      <a:avLst/>
                    </a:prstGeom>
                    <a:noFill/>
                    <a:ln>
                      <a:noFill/>
                    </a:ln>
                  </pic:spPr>
                </pic:pic>
              </a:graphicData>
            </a:graphic>
          </wp:inline>
        </w:drawing>
      </w:r>
      <w:r w:rsidRPr="00351A79">
        <w:rPr>
          <w:rFonts w:ascii="Segoe UI" w:eastAsia="Times New Roman" w:hAnsi="Segoe UI" w:cs="Segoe UI"/>
          <w:color w:val="111111"/>
          <w:sz w:val="24"/>
          <w:szCs w:val="24"/>
        </w:rPr>
        <w:t> </w:t>
      </w:r>
    </w:p>
    <w:p w14:paraId="74AEA88B"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t>2. Heat addition or extraction</w:t>
      </w:r>
    </w:p>
    <w:p w14:paraId="6B84C039"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This method requires specifying amount of heat (ΔH) added or removed from the fluid by recirculation device. In this method 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 is calculated using following equation:</w:t>
      </w:r>
    </w:p>
    <w:p w14:paraId="5ECF41EB"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 = T</w:t>
      </w:r>
      <w:r w:rsidRPr="00351A79">
        <w:rPr>
          <w:rFonts w:ascii="Segoe UI" w:eastAsia="Times New Roman" w:hAnsi="Segoe UI" w:cs="Segoe UI"/>
          <w:color w:val="111111"/>
          <w:sz w:val="18"/>
          <w:szCs w:val="18"/>
          <w:vertAlign w:val="subscript"/>
        </w:rPr>
        <w:t>OUT</w:t>
      </w:r>
      <w:r w:rsidRPr="00351A79">
        <w:rPr>
          <w:rFonts w:ascii="Segoe UI" w:eastAsia="Times New Roman" w:hAnsi="Segoe UI" w:cs="Segoe UI"/>
          <w:color w:val="111111"/>
          <w:sz w:val="24"/>
          <w:szCs w:val="24"/>
        </w:rPr>
        <w:t xml:space="preserve"> + [ ΔH / (m x </w:t>
      </w:r>
      <w:proofErr w:type="gramStart"/>
      <w:r w:rsidRPr="00351A79">
        <w:rPr>
          <w:rFonts w:ascii="Segoe UI" w:eastAsia="Times New Roman" w:hAnsi="Segoe UI" w:cs="Segoe UI"/>
          <w:color w:val="111111"/>
          <w:sz w:val="24"/>
          <w:szCs w:val="24"/>
        </w:rPr>
        <w:t>C</w:t>
      </w:r>
      <w:r w:rsidRPr="00351A79">
        <w:rPr>
          <w:rFonts w:ascii="Segoe UI" w:eastAsia="Times New Roman" w:hAnsi="Segoe UI" w:cs="Segoe UI"/>
          <w:color w:val="111111"/>
          <w:sz w:val="18"/>
          <w:szCs w:val="18"/>
          <w:vertAlign w:val="subscript"/>
        </w:rPr>
        <w:t>P</w:t>
      </w:r>
      <w:r w:rsidRPr="00351A79">
        <w:rPr>
          <w:rFonts w:ascii="Segoe UI" w:eastAsia="Times New Roman" w:hAnsi="Segoe UI" w:cs="Segoe UI"/>
          <w:color w:val="111111"/>
          <w:sz w:val="24"/>
          <w:szCs w:val="24"/>
        </w:rPr>
        <w:t> )</w:t>
      </w:r>
      <w:proofErr w:type="gramEnd"/>
      <w:r w:rsidRPr="00351A79">
        <w:rPr>
          <w:rFonts w:ascii="Segoe UI" w:eastAsia="Times New Roman" w:hAnsi="Segoe UI" w:cs="Segoe UI"/>
          <w:color w:val="111111"/>
          <w:sz w:val="24"/>
          <w:szCs w:val="24"/>
        </w:rPr>
        <w:t xml:space="preserve"> ]</w:t>
      </w:r>
    </w:p>
    <w:p w14:paraId="5020ADE9"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Where C</w:t>
      </w:r>
      <w:r w:rsidRPr="00351A79">
        <w:rPr>
          <w:rFonts w:ascii="Segoe UI" w:eastAsia="Times New Roman" w:hAnsi="Segoe UI" w:cs="Segoe UI"/>
          <w:color w:val="111111"/>
          <w:sz w:val="18"/>
          <w:szCs w:val="18"/>
          <w:vertAlign w:val="subscript"/>
        </w:rPr>
        <w:t>P</w:t>
      </w:r>
      <w:r w:rsidRPr="00351A79">
        <w:rPr>
          <w:rFonts w:ascii="Segoe UI" w:eastAsia="Times New Roman" w:hAnsi="Segoe UI" w:cs="Segoe UI"/>
          <w:color w:val="111111"/>
          <w:sz w:val="24"/>
          <w:szCs w:val="24"/>
        </w:rPr>
        <w:t> is specific heat of the fluid and m is mass flow rate of fluid through the device.</w:t>
      </w:r>
    </w:p>
    <w:p w14:paraId="10BC9FCF" w14:textId="5FA81D7E"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2B22BE8C" wp14:editId="0D67BC1B">
            <wp:extent cx="4953000" cy="2514600"/>
            <wp:effectExtent l="0" t="0" r="0" b="0"/>
            <wp:docPr id="2" name="Picture 2" descr="recirculation-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irculation-in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a:noFill/>
                    </a:ln>
                  </pic:spPr>
                </pic:pic>
              </a:graphicData>
            </a:graphic>
          </wp:inline>
        </w:drawing>
      </w:r>
    </w:p>
    <w:p w14:paraId="2F4B8BB6"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b/>
          <w:bCs/>
          <w:color w:val="111111"/>
          <w:sz w:val="24"/>
          <w:szCs w:val="24"/>
        </w:rPr>
        <w:t>3. Convection</w:t>
      </w:r>
    </w:p>
    <w:p w14:paraId="003B91D9"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lastRenderedPageBreak/>
        <w:t>In this method we need to specify the external temperature (</w:t>
      </w:r>
      <w:proofErr w:type="spellStart"/>
      <w:r w:rsidRPr="00351A79">
        <w:rPr>
          <w:rFonts w:ascii="Segoe UI" w:eastAsia="Times New Roman" w:hAnsi="Segoe UI" w:cs="Segoe UI"/>
          <w:color w:val="111111"/>
          <w:sz w:val="24"/>
          <w:szCs w:val="24"/>
        </w:rPr>
        <w:t>T</w:t>
      </w:r>
      <w:r w:rsidRPr="00351A79">
        <w:rPr>
          <w:rFonts w:ascii="Segoe UI" w:eastAsia="Times New Roman" w:hAnsi="Segoe UI" w:cs="Segoe UI"/>
          <w:color w:val="111111"/>
          <w:sz w:val="18"/>
          <w:szCs w:val="18"/>
          <w:vertAlign w:val="subscript"/>
        </w:rPr>
        <w:t>External</w:t>
      </w:r>
      <w:proofErr w:type="spellEnd"/>
      <w:r w:rsidRPr="00351A79">
        <w:rPr>
          <w:rFonts w:ascii="Segoe UI" w:eastAsia="Times New Roman" w:hAnsi="Segoe UI" w:cs="Segoe UI"/>
          <w:color w:val="111111"/>
          <w:sz w:val="24"/>
          <w:szCs w:val="24"/>
        </w:rPr>
        <w:t>), product of heat transfer coefficient and area (h x A). Following equation shows the relation of 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 with other parameters.</w:t>
      </w:r>
    </w:p>
    <w:p w14:paraId="0856E550"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r w:rsidRPr="00351A79">
        <w:rPr>
          <w:rFonts w:ascii="Segoe UI" w:eastAsia="Times New Roman" w:hAnsi="Segoe UI" w:cs="Segoe UI"/>
          <w:color w:val="111111"/>
          <w:sz w:val="24"/>
          <w:szCs w:val="24"/>
        </w:rPr>
        <w:t>T</w:t>
      </w:r>
      <w:r w:rsidRPr="00351A79">
        <w:rPr>
          <w:rFonts w:ascii="Segoe UI" w:eastAsia="Times New Roman" w:hAnsi="Segoe UI" w:cs="Segoe UI"/>
          <w:color w:val="111111"/>
          <w:sz w:val="18"/>
          <w:szCs w:val="18"/>
          <w:vertAlign w:val="subscript"/>
        </w:rPr>
        <w:t>IN</w:t>
      </w:r>
      <w:r w:rsidRPr="00351A79">
        <w:rPr>
          <w:rFonts w:ascii="Segoe UI" w:eastAsia="Times New Roman" w:hAnsi="Segoe UI" w:cs="Segoe UI"/>
          <w:color w:val="111111"/>
          <w:sz w:val="24"/>
          <w:szCs w:val="24"/>
        </w:rPr>
        <w:t> = T</w:t>
      </w:r>
      <w:r w:rsidRPr="00351A79">
        <w:rPr>
          <w:rFonts w:ascii="Segoe UI" w:eastAsia="Times New Roman" w:hAnsi="Segoe UI" w:cs="Segoe UI"/>
          <w:color w:val="111111"/>
          <w:sz w:val="18"/>
          <w:szCs w:val="18"/>
          <w:vertAlign w:val="subscript"/>
        </w:rPr>
        <w:t>OUT</w:t>
      </w:r>
      <w:r w:rsidRPr="00351A79">
        <w:rPr>
          <w:rFonts w:ascii="Segoe UI" w:eastAsia="Times New Roman" w:hAnsi="Segoe UI" w:cs="Segoe UI"/>
          <w:color w:val="111111"/>
          <w:sz w:val="24"/>
          <w:szCs w:val="24"/>
        </w:rPr>
        <w:t> - [ h x A x (T</w:t>
      </w:r>
      <w:r w:rsidRPr="00351A79">
        <w:rPr>
          <w:rFonts w:ascii="Segoe UI" w:eastAsia="Times New Roman" w:hAnsi="Segoe UI" w:cs="Segoe UI"/>
          <w:color w:val="111111"/>
          <w:sz w:val="18"/>
          <w:szCs w:val="18"/>
          <w:vertAlign w:val="subscript"/>
        </w:rPr>
        <w:t>OUT</w:t>
      </w:r>
      <w:r w:rsidRPr="00351A79">
        <w:rPr>
          <w:rFonts w:ascii="Segoe UI" w:eastAsia="Times New Roman" w:hAnsi="Segoe UI" w:cs="Segoe UI"/>
          <w:color w:val="111111"/>
          <w:sz w:val="24"/>
          <w:szCs w:val="24"/>
        </w:rPr>
        <w:t xml:space="preserve"> – </w:t>
      </w:r>
      <w:proofErr w:type="spellStart"/>
      <w:proofErr w:type="gramStart"/>
      <w:r w:rsidRPr="00351A79">
        <w:rPr>
          <w:rFonts w:ascii="Segoe UI" w:eastAsia="Times New Roman" w:hAnsi="Segoe UI" w:cs="Segoe UI"/>
          <w:color w:val="111111"/>
          <w:sz w:val="24"/>
          <w:szCs w:val="24"/>
        </w:rPr>
        <w:t>T</w:t>
      </w:r>
      <w:r w:rsidRPr="00351A79">
        <w:rPr>
          <w:rFonts w:ascii="Segoe UI" w:eastAsia="Times New Roman" w:hAnsi="Segoe UI" w:cs="Segoe UI"/>
          <w:color w:val="111111"/>
          <w:sz w:val="18"/>
          <w:szCs w:val="18"/>
          <w:vertAlign w:val="subscript"/>
        </w:rPr>
        <w:t>External</w:t>
      </w:r>
      <w:proofErr w:type="spellEnd"/>
      <w:r w:rsidRPr="00351A79">
        <w:rPr>
          <w:rFonts w:ascii="Segoe UI" w:eastAsia="Times New Roman" w:hAnsi="Segoe UI" w:cs="Segoe UI"/>
          <w:color w:val="111111"/>
          <w:sz w:val="24"/>
          <w:szCs w:val="24"/>
        </w:rPr>
        <w:t> )</w:t>
      </w:r>
      <w:proofErr w:type="gramEnd"/>
      <w:r w:rsidRPr="00351A79">
        <w:rPr>
          <w:rFonts w:ascii="Segoe UI" w:eastAsia="Times New Roman" w:hAnsi="Segoe UI" w:cs="Segoe UI"/>
          <w:color w:val="111111"/>
          <w:sz w:val="24"/>
          <w:szCs w:val="24"/>
        </w:rPr>
        <w:t xml:space="preserve"> / (m x CP ) ]</w:t>
      </w:r>
    </w:p>
    <w:p w14:paraId="08A7D960" w14:textId="1C634D96" w:rsidR="00351A79" w:rsidRPr="00351A79" w:rsidRDefault="00351A79" w:rsidP="00351A79">
      <w:pPr>
        <w:shd w:val="clear" w:color="auto" w:fill="FDFDFD"/>
        <w:spacing w:after="225" w:line="343" w:lineRule="atLeast"/>
        <w:jc w:val="center"/>
        <w:rPr>
          <w:rFonts w:ascii="Segoe UI" w:eastAsia="Times New Roman" w:hAnsi="Segoe UI" w:cs="Segoe UI"/>
          <w:color w:val="111111"/>
          <w:sz w:val="24"/>
          <w:szCs w:val="24"/>
        </w:rPr>
      </w:pPr>
      <w:r w:rsidRPr="00351A79">
        <w:rPr>
          <w:rFonts w:ascii="Segoe UI" w:eastAsia="Times New Roman" w:hAnsi="Segoe UI" w:cs="Segoe UI"/>
          <w:noProof/>
          <w:color w:val="111111"/>
          <w:sz w:val="24"/>
          <w:szCs w:val="24"/>
        </w:rPr>
        <w:drawing>
          <wp:inline distT="0" distB="0" distL="0" distR="0" wp14:anchorId="6EF4CD82" wp14:editId="5240D61F">
            <wp:extent cx="4962525" cy="3095625"/>
            <wp:effectExtent l="0" t="0" r="9525" b="9525"/>
            <wp:docPr id="1" name="Picture 1" descr="re-inlet-covection-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inlet-covection-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095625"/>
                    </a:xfrm>
                    <a:prstGeom prst="rect">
                      <a:avLst/>
                    </a:prstGeom>
                    <a:noFill/>
                    <a:ln>
                      <a:noFill/>
                    </a:ln>
                  </pic:spPr>
                </pic:pic>
              </a:graphicData>
            </a:graphic>
          </wp:inline>
        </w:drawing>
      </w:r>
    </w:p>
    <w:p w14:paraId="2A4AF948" w14:textId="77777777" w:rsidR="00351A79" w:rsidRPr="00351A79" w:rsidRDefault="00351A79" w:rsidP="00351A79">
      <w:pPr>
        <w:shd w:val="clear" w:color="auto" w:fill="FDFDFD"/>
        <w:spacing w:after="225" w:line="343" w:lineRule="atLeast"/>
        <w:rPr>
          <w:rFonts w:ascii="Segoe UI" w:eastAsia="Times New Roman" w:hAnsi="Segoe UI" w:cs="Segoe UI"/>
          <w:color w:val="111111"/>
          <w:sz w:val="24"/>
          <w:szCs w:val="24"/>
        </w:rPr>
      </w:pPr>
      <w:proofErr w:type="gramStart"/>
      <w:r w:rsidRPr="00351A79">
        <w:rPr>
          <w:rFonts w:ascii="Segoe UI" w:eastAsia="Times New Roman" w:hAnsi="Segoe UI" w:cs="Segoe UI"/>
          <w:color w:val="111111"/>
          <w:sz w:val="24"/>
          <w:szCs w:val="24"/>
        </w:rPr>
        <w:t>So</w:t>
      </w:r>
      <w:proofErr w:type="gramEnd"/>
      <w:r w:rsidRPr="00351A79">
        <w:rPr>
          <w:rFonts w:ascii="Segoe UI" w:eastAsia="Times New Roman" w:hAnsi="Segoe UI" w:cs="Segoe UI"/>
          <w:color w:val="111111"/>
          <w:sz w:val="24"/>
          <w:szCs w:val="24"/>
        </w:rPr>
        <w:t xml:space="preserve"> we have seen how to implement recirculation boundary conditions in ANSYS FLUENT. This is one custom type of boundary condition which is available in ANSYS FLUENT, but there could be some specific boundary conditions which are not available directly in ANSYS FLUENT. In such cases we can still implement those boundary conditions in ANSYS FLUENT using a User defined function (UDF). We will not go in details about creating custom boundary conditions using UDF in this blog. If you are novice to UDF then please visit our </w:t>
      </w:r>
      <w:hyperlink r:id="rId10" w:history="1">
        <w:r w:rsidRPr="00351A79">
          <w:rPr>
            <w:rFonts w:ascii="Segoe UI" w:eastAsia="Times New Roman" w:hAnsi="Segoe UI" w:cs="Segoe UI"/>
            <w:b/>
            <w:bCs/>
            <w:color w:val="1756A9"/>
            <w:sz w:val="24"/>
            <w:szCs w:val="24"/>
            <w:u w:val="single"/>
          </w:rPr>
          <w:t>blog series on UDF</w:t>
        </w:r>
      </w:hyperlink>
      <w:r w:rsidRPr="00351A79">
        <w:rPr>
          <w:rFonts w:ascii="Segoe UI" w:eastAsia="Times New Roman" w:hAnsi="Segoe UI" w:cs="Segoe UI"/>
          <w:color w:val="111111"/>
          <w:sz w:val="24"/>
          <w:szCs w:val="24"/>
        </w:rPr>
        <w:t>. </w:t>
      </w:r>
    </w:p>
    <w:p w14:paraId="41FDA08F" w14:textId="77777777" w:rsidR="00DA4DC8" w:rsidRDefault="00DA4DC8"/>
    <w:sectPr w:rsidR="00DA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34A5D"/>
    <w:multiLevelType w:val="multilevel"/>
    <w:tmpl w:val="509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53"/>
    <w:rsid w:val="00047C53"/>
    <w:rsid w:val="001E4378"/>
    <w:rsid w:val="00351A79"/>
    <w:rsid w:val="00DA4DC8"/>
    <w:rsid w:val="00F30E6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8C20"/>
  <w15:chartTrackingRefBased/>
  <w15:docId w15:val="{67467D11-BF62-4BB8-BE35-F917971B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351A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51A7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51A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A79"/>
    <w:rPr>
      <w:rFonts w:ascii="Courier New" w:eastAsia="Times New Roman" w:hAnsi="Courier New" w:cs="Courier New"/>
      <w:sz w:val="20"/>
      <w:szCs w:val="20"/>
    </w:rPr>
  </w:style>
  <w:style w:type="character" w:styleId="Strong">
    <w:name w:val="Strong"/>
    <w:basedOn w:val="DefaultParagraphFont"/>
    <w:uiPriority w:val="22"/>
    <w:qFormat/>
    <w:rsid w:val="00351A79"/>
    <w:rPr>
      <w:b/>
      <w:bCs/>
    </w:rPr>
  </w:style>
  <w:style w:type="character" w:styleId="Hyperlink">
    <w:name w:val="Hyperlink"/>
    <w:basedOn w:val="DefaultParagraphFont"/>
    <w:uiPriority w:val="99"/>
    <w:unhideWhenUsed/>
    <w:rsid w:val="00351A79"/>
    <w:rPr>
      <w:color w:val="0000FF"/>
      <w:u w:val="single"/>
    </w:rPr>
  </w:style>
  <w:style w:type="paragraph" w:styleId="BalloonText">
    <w:name w:val="Balloon Text"/>
    <w:basedOn w:val="Normal"/>
    <w:link w:val="BalloonTextChar"/>
    <w:uiPriority w:val="99"/>
    <w:semiHidden/>
    <w:unhideWhenUsed/>
    <w:rsid w:val="00351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A79"/>
    <w:rPr>
      <w:rFonts w:ascii="Segoe UI" w:hAnsi="Segoe UI" w:cs="Segoe UI"/>
      <w:sz w:val="18"/>
      <w:szCs w:val="18"/>
    </w:rPr>
  </w:style>
  <w:style w:type="character" w:styleId="UnresolvedMention">
    <w:name w:val="Unresolved Mention"/>
    <w:basedOn w:val="DefaultParagraphFont"/>
    <w:uiPriority w:val="99"/>
    <w:semiHidden/>
    <w:unhideWhenUsed/>
    <w:rsid w:val="001E4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4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earncax.com/knowledge-base/blog/by-category/cfd/blog/by-tag/udf"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 John</dc:creator>
  <cp:keywords/>
  <dc:description/>
  <cp:lastModifiedBy>Wang, Xin John</cp:lastModifiedBy>
  <cp:revision>4</cp:revision>
  <dcterms:created xsi:type="dcterms:W3CDTF">2019-12-02T09:32:00Z</dcterms:created>
  <dcterms:modified xsi:type="dcterms:W3CDTF">2019-12-02T09:33:00Z</dcterms:modified>
</cp:coreProperties>
</file>