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Times New Roman" w:hAnsi="Times New Roman"/>
          <w:b w:val="0"/>
          <w:color w:val="000000"/>
        </w:rPr>
        <w:t>FLOODSHADOW Guía para comprender y presentar el sistema</w:t>
      </w:r>
    </w:p>
    <w:p>
      <w:pPr>
        <w:widowControl/>
      </w:pPr>
      <w:r>
        <w:rPr>
          <w:rFonts w:ascii="Times New Roman" w:hAnsi="Times New Roman"/>
          <w:b/>
          <w:color w:val="000000"/>
        </w:rPr>
        <w:t>Equipo 3Jota</w:t>
      </w:r>
    </w:p>
    <w:p>
      <w:pPr>
        <w:widowControl/>
      </w:pPr>
      <w:r>
        <w:rPr>
          <w:rFonts w:ascii="Times New Roman" w:hAnsi="Times New Roman"/>
          <w:b w:val="0"/>
          <w:color w:val="000000"/>
        </w:rPr>
        <w:t>José Luis Paladines Sánchez</w:t>
      </w:r>
    </w:p>
    <w:p>
      <w:pPr>
        <w:widowControl/>
      </w:pPr>
      <w:r>
        <w:rPr>
          <w:rFonts w:ascii="Times New Roman" w:hAnsi="Times New Roman"/>
          <w:b w:val="0"/>
          <w:color w:val="000000"/>
        </w:rPr>
        <w:t>John Maximiliano Carreño Robalino</w:t>
      </w:r>
    </w:p>
    <w:p>
      <w:pPr>
        <w:widowControl/>
      </w:pPr>
      <w:r>
        <w:rPr>
          <w:rFonts w:ascii="Times New Roman" w:hAnsi="Times New Roman"/>
          <w:b w:val="0"/>
          <w:color w:val="000000"/>
        </w:rPr>
        <w:t>Julinho Jesús Plua Mendosa</w:t>
      </w:r>
    </w:p>
    <w:p>
      <w:pPr>
        <w:widowControl/>
      </w:pPr>
      <w:r>
        <w:rPr>
          <w:rFonts w:ascii="Times New Roman" w:hAnsi="Times New Roman"/>
          <w:b w:val="0"/>
          <w:color w:val="000000"/>
        </w:rPr>
        <w:t>Hack2Impact 2026  Reto de Ecuador  25 de octubre de 2026</w:t>
      </w:r>
    </w:p>
    <w:p>
      <w:pPr>
        <w:pStyle w:val="Heading1"/>
      </w:pPr>
      <w:r>
        <w:t>I  Qué hace el proyecto</w:t>
      </w:r>
    </w:p>
    <w:p>
      <w:pPr>
        <w:widowControl/>
      </w:pPr>
      <w:r>
        <w:rPr>
          <w:rFonts w:ascii="Times New Roman" w:hAnsi="Times New Roman"/>
          <w:b w:val="0"/>
          <w:color w:val="000000"/>
        </w:rPr>
        <w:t>FLOODSHADOW reúne lo que un modelo meteorológico esperaba, cómo cambió la lluvia estimada y qué afectaciones se publicaron. Permite explorar una zona concreta de Guayaquil y reconocer qué información falta. El usuario puede añadir evidencia real y revisar cómo cambia el estado de un sector. Su valor actual está en conectar datos, explicar sus límites y orientar verificaciones; todavía no demuestra que prediga inundaciones con precisión.</w:t>
      </w:r>
    </w:p>
    <w:p>
      <w:pPr>
        <w:widowControl/>
      </w:pPr>
      <w:r>
        <w:rPr>
          <w:rFonts w:ascii="Times New Roman" w:hAnsi="Times New Roman"/>
          <w:b w:val="0"/>
          <w:color w:val="000000"/>
        </w:rPr>
        <w:t>La aplicación está en inglés por el jurado internacional. Esta guía explica sus términos en español. La propuesta que debe entregarse está en inglés y se incluye como documento separado. Las referencias se numeran en orden IEEE. El diseño y la lectura tienen prioridad sobre imitar una publicación certificada por IEEE [1].</w:t>
      </w:r>
    </w:p>
    <w:p>
      <w:r>
        <w:br w:type="page"/>
      </w:r>
    </w:p>
    <w:p>
      <w:pPr>
        <w:pStyle w:val="Heading1"/>
      </w:pPr>
      <w:r>
        <w:t>II  Qué significa cada color</w:t>
      </w:r>
    </w:p>
    <w:tbl>
      <w:tblPr>
        <w:tblW w:type="auto" w:w="0"/>
        <w:tblLayout w:type="fixed"/>
        <w:tblLook w:firstColumn="1" w:firstRow="1" w:lastColumn="0" w:lastRow="0" w:noHBand="0" w:noVBand="1" w:val="04A0"/>
      </w:tblPr>
      <w:tblGrid>
        <w:gridCol w:w="4734"/>
        <w:gridCol w:w="4734"/>
      </w:tblGrid>
      <w:tr>
        <w:trPr>
          <w:tblHeader/>
          <w:cantSplit/>
        </w:trPr>
        <w:tc>
          <w:tcPr>
            <w:tcW w:type="dxa" w:w="4734"/>
            <w:tcBorders>
              <w:top w:val="single" w:sz="4" w:color="D9D9D9"/>
              <w:left w:val="single" w:sz="4" w:color="D9D9D9"/>
              <w:bottom w:val="single" w:sz="4" w:color="D9D9D9"/>
              <w:right w:val="single" w:sz="4" w:color="D9D9D9"/>
            </w:tcBorders>
            <w:shd w:fill="DDE8EF"/>
            <w:tcMar>
              <w:top w:w="75" w:type="dxa"/>
              <w:left w:w="75" w:type="dxa"/>
              <w:bottom w:w="75" w:type="dxa"/>
              <w:right w:w="75" w:type="dxa"/>
            </w:tcMar>
          </w:tcPr>
          <w:p>
            <w:pPr>
              <w:spacing w:after="60" w:before="40"/>
            </w:pPr>
            <w:r>
              <w:rPr>
                <w:rFonts w:ascii="Times New Roman" w:hAnsi="Times New Roman"/>
                <w:b/>
                <w:sz w:val="20"/>
              </w:rPr>
              <w:t>Color y capa</w:t>
            </w:r>
          </w:p>
        </w:tc>
        <w:tc>
          <w:tcPr>
            <w:tcW w:type="dxa" w:w="4734"/>
            <w:tcBorders>
              <w:top w:val="single" w:sz="4" w:color="D9D9D9"/>
              <w:left w:val="single" w:sz="4" w:color="D9D9D9"/>
              <w:bottom w:val="single" w:sz="4" w:color="D9D9D9"/>
              <w:right w:val="single" w:sz="4" w:color="D9D9D9"/>
            </w:tcBorders>
            <w:shd w:fill="DDE8EF"/>
            <w:tcMar>
              <w:top w:w="75" w:type="dxa"/>
              <w:left w:w="75" w:type="dxa"/>
              <w:bottom w:w="75" w:type="dxa"/>
              <w:right w:w="75" w:type="dxa"/>
            </w:tcMar>
          </w:tcPr>
          <w:p>
            <w:pPr>
              <w:spacing w:after="60" w:before="40"/>
            </w:pPr>
            <w:r>
              <w:rPr>
                <w:rFonts w:ascii="Times New Roman" w:hAnsi="Times New Roman"/>
                <w:b/>
                <w:sz w:val="20"/>
              </w:rPr>
              <w:t>Lectura correcta</w:t>
            </w:r>
          </w:p>
        </w:tc>
      </w:tr>
      <w:tr>
        <w:trPr>
          <w:cantSplit/>
        </w:trPr>
        <w:tc>
          <w:tcPr>
            <w:tcW w:type="dxa" w:w="4734"/>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60" w:before="40"/>
            </w:pPr>
            <w:r>
              <w:rPr>
                <w:rFonts w:ascii="Times New Roman" w:hAnsi="Times New Roman"/>
                <w:b w:val="0"/>
                <w:sz w:val="20"/>
              </w:rPr>
              <w:t>Ámbar en Watch priority</w:t>
            </w:r>
          </w:p>
        </w:tc>
        <w:tc>
          <w:tcPr>
            <w:tcW w:type="dxa" w:w="4734"/>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60" w:before="40"/>
            </w:pPr>
            <w:r>
              <w:rPr>
                <w:rFonts w:ascii="Times New Roman" w:hAnsi="Times New Roman"/>
                <w:b w:val="0"/>
                <w:sz w:val="20"/>
              </w:rPr>
              <w:t>Prioridad relativa para prestar atención o buscar evidencia. 0–29 menor, 30–59 moderada, 60–100 mayor. No es porcentaje de inundación.</w:t>
            </w:r>
          </w:p>
        </w:tc>
      </w:tr>
      <w:tr>
        <w:trPr>
          <w:cantSplit/>
        </w:trPr>
        <w:tc>
          <w:tcPr>
            <w:tcW w:type="dxa" w:w="4734"/>
            <w:tcBorders>
              <w:top w:val="single" w:sz="4" w:color="D9D9D9"/>
              <w:left w:val="single" w:sz="4" w:color="D9D9D9"/>
              <w:bottom w:val="single" w:sz="4" w:color="D9D9D9"/>
              <w:right w:val="single" w:sz="4" w:color="D9D9D9"/>
            </w:tcBorders>
            <w:shd w:fill="F4F7F9"/>
            <w:tcMar>
              <w:top w:w="75" w:type="dxa"/>
              <w:left w:w="75" w:type="dxa"/>
              <w:bottom w:w="75" w:type="dxa"/>
              <w:right w:w="75" w:type="dxa"/>
            </w:tcMar>
          </w:tcPr>
          <w:p>
            <w:pPr>
              <w:spacing w:after="60" w:before="40"/>
            </w:pPr>
            <w:r>
              <w:rPr>
                <w:rFonts w:ascii="Times New Roman" w:hAnsi="Times New Roman"/>
                <w:b w:val="0"/>
                <w:sz w:val="20"/>
              </w:rPr>
              <w:t>Azul en Expected rain o Rain estimate</w:t>
            </w:r>
          </w:p>
        </w:tc>
        <w:tc>
          <w:tcPr>
            <w:tcW w:type="dxa" w:w="4734"/>
            <w:tcBorders>
              <w:top w:val="single" w:sz="4" w:color="D9D9D9"/>
              <w:left w:val="single" w:sz="4" w:color="D9D9D9"/>
              <w:bottom w:val="single" w:sz="4" w:color="D9D9D9"/>
              <w:right w:val="single" w:sz="4" w:color="D9D9D9"/>
            </w:tcBorders>
            <w:shd w:fill="F4F7F9"/>
            <w:tcMar>
              <w:top w:w="75" w:type="dxa"/>
              <w:left w:w="75" w:type="dxa"/>
              <w:bottom w:w="75" w:type="dxa"/>
              <w:right w:w="75" w:type="dxa"/>
            </w:tcMar>
          </w:tcPr>
          <w:p>
            <w:pPr>
              <w:spacing w:after="60" w:before="40"/>
            </w:pPr>
            <w:r>
              <w:rPr>
                <w:rFonts w:ascii="Times New Roman" w:hAnsi="Times New Roman"/>
                <w:b w:val="0"/>
                <w:sz w:val="20"/>
              </w:rPr>
              <w:t>Cantidad de lluvia, en mm o mm/h según la línea de tiempo. Más oscuro significa más lluvia dentro de la escala numérica visible.</w:t>
            </w:r>
          </w:p>
        </w:tc>
      </w:tr>
      <w:tr>
        <w:trPr>
          <w:cantSplit/>
        </w:trPr>
        <w:tc>
          <w:tcPr>
            <w:tcW w:type="dxa" w:w="4734"/>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60" w:before="40"/>
            </w:pPr>
            <w:r>
              <w:rPr>
                <w:rFonts w:ascii="Times New Roman" w:hAnsi="Times New Roman"/>
                <w:b w:val="0"/>
                <w:sz w:val="20"/>
              </w:rPr>
              <w:t>Punto rojo</w:t>
            </w:r>
          </w:p>
        </w:tc>
        <w:tc>
          <w:tcPr>
            <w:tcW w:type="dxa" w:w="4734"/>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60" w:before="40"/>
            </w:pPr>
            <w:r>
              <w:rPr>
                <w:rFonts w:ascii="Times New Roman" w:hAnsi="Times New Roman"/>
                <w:b w:val="0"/>
                <w:sz w:val="20"/>
              </w:rPr>
              <w:t>Lugar candidato de un registro publicado. Puede necesitar revisión geográfica y no delimita un barrio inundado.</w:t>
            </w:r>
          </w:p>
        </w:tc>
      </w:tr>
      <w:tr>
        <w:trPr>
          <w:cantSplit/>
        </w:trPr>
        <w:tc>
          <w:tcPr>
            <w:tcW w:type="dxa" w:w="4734"/>
            <w:tcBorders>
              <w:top w:val="single" w:sz="4" w:color="D9D9D9"/>
              <w:left w:val="single" w:sz="4" w:color="D9D9D9"/>
              <w:bottom w:val="single" w:sz="4" w:color="D9D9D9"/>
              <w:right w:val="single" w:sz="4" w:color="D9D9D9"/>
            </w:tcBorders>
            <w:shd w:fill="F4F7F9"/>
            <w:tcMar>
              <w:top w:w="75" w:type="dxa"/>
              <w:left w:w="75" w:type="dxa"/>
              <w:bottom w:w="75" w:type="dxa"/>
              <w:right w:w="75" w:type="dxa"/>
            </w:tcMar>
          </w:tcPr>
          <w:p>
            <w:pPr>
              <w:spacing w:after="60" w:before="40"/>
            </w:pPr>
            <w:r>
              <w:rPr>
                <w:rFonts w:ascii="Times New Roman" w:hAnsi="Times New Roman"/>
                <w:b w:val="0"/>
                <w:sz w:val="20"/>
              </w:rPr>
              <w:t>Gris en lluvia o prioridad</w:t>
            </w:r>
          </w:p>
        </w:tc>
        <w:tc>
          <w:tcPr>
            <w:tcW w:type="dxa" w:w="4734"/>
            <w:tcBorders>
              <w:top w:val="single" w:sz="4" w:color="D9D9D9"/>
              <w:left w:val="single" w:sz="4" w:color="D9D9D9"/>
              <w:bottom w:val="single" w:sz="4" w:color="D9D9D9"/>
              <w:right w:val="single" w:sz="4" w:color="D9D9D9"/>
            </w:tcBorders>
            <w:shd w:fill="F4F7F9"/>
            <w:tcMar>
              <w:top w:w="75" w:type="dxa"/>
              <w:left w:w="75" w:type="dxa"/>
              <w:bottom w:w="75" w:type="dxa"/>
              <w:right w:w="75" w:type="dxa"/>
            </w:tcMar>
          </w:tcPr>
          <w:p>
            <w:pPr>
              <w:spacing w:after="60" w:before="40"/>
            </w:pPr>
            <w:r>
              <w:rPr>
                <w:rFonts w:ascii="Times New Roman" w:hAnsi="Times New Roman"/>
                <w:b w:val="0"/>
                <w:sz w:val="20"/>
              </w:rPr>
              <w:t>No existe un valor utilizable para esa capa. No significa que sea seguro ni que el valor sea cero.</w:t>
            </w:r>
          </w:p>
        </w:tc>
      </w:tr>
      <w:tr>
        <w:trPr>
          <w:cantSplit/>
        </w:trPr>
        <w:tc>
          <w:tcPr>
            <w:tcW w:type="dxa" w:w="4734"/>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60" w:before="40"/>
            </w:pPr>
            <w:r>
              <w:rPr>
                <w:rFonts w:ascii="Times New Roman" w:hAnsi="Times New Roman"/>
                <w:b w:val="0"/>
                <w:sz w:val="20"/>
              </w:rPr>
              <w:t>Gris en Verification status</w:t>
            </w:r>
          </w:p>
        </w:tc>
        <w:tc>
          <w:tcPr>
            <w:tcW w:type="dxa" w:w="4734"/>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60" w:before="40"/>
            </w:pPr>
            <w:r>
              <w:rPr>
                <w:rFonts w:ascii="Times New Roman" w:hAnsi="Times New Roman"/>
                <w:b w:val="0"/>
                <w:sz w:val="20"/>
              </w:rPr>
              <w:t>No existe verificación aceptada de todo el polígono. Puede haber un reporte puntual sin inspección sectorial.</w:t>
            </w:r>
          </w:p>
        </w:tc>
      </w:tr>
      <w:tr>
        <w:trPr>
          <w:cantSplit/>
        </w:trPr>
        <w:tc>
          <w:tcPr>
            <w:tcW w:type="dxa" w:w="4734"/>
            <w:tcBorders>
              <w:top w:val="single" w:sz="4" w:color="D9D9D9"/>
              <w:left w:val="single" w:sz="4" w:color="D9D9D9"/>
              <w:bottom w:val="single" w:sz="4" w:color="D9D9D9"/>
              <w:right w:val="single" w:sz="4" w:color="D9D9D9"/>
            </w:tcBorders>
            <w:shd w:fill="F4F7F9"/>
            <w:tcMar>
              <w:top w:w="75" w:type="dxa"/>
              <w:left w:w="75" w:type="dxa"/>
              <w:bottom w:w="75" w:type="dxa"/>
              <w:right w:w="75" w:type="dxa"/>
            </w:tcMar>
          </w:tcPr>
          <w:p>
            <w:pPr>
              <w:spacing w:after="60" w:before="40"/>
            </w:pPr>
            <w:r>
              <w:rPr>
                <w:rFonts w:ascii="Times New Roman" w:hAnsi="Times New Roman"/>
                <w:b w:val="0"/>
                <w:sz w:val="20"/>
              </w:rPr>
              <w:t>Verde o rojo en Verification status</w:t>
            </w:r>
          </w:p>
        </w:tc>
        <w:tc>
          <w:tcPr>
            <w:tcW w:type="dxa" w:w="4734"/>
            <w:tcBorders>
              <w:top w:val="single" w:sz="4" w:color="D9D9D9"/>
              <w:left w:val="single" w:sz="4" w:color="D9D9D9"/>
              <w:bottom w:val="single" w:sz="4" w:color="D9D9D9"/>
              <w:right w:val="single" w:sz="4" w:color="D9D9D9"/>
            </w:tcBorders>
            <w:shd w:fill="F4F7F9"/>
            <w:tcMar>
              <w:top w:w="75" w:type="dxa"/>
              <w:left w:w="75" w:type="dxa"/>
              <w:bottom w:w="75" w:type="dxa"/>
              <w:right w:w="75" w:type="dxa"/>
            </w:tcMar>
          </w:tcPr>
          <w:p>
            <w:pPr>
              <w:spacing w:after="60" w:before="40"/>
            </w:pPr>
            <w:r>
              <w:rPr>
                <w:rFonts w:ascii="Times New Roman" w:hAnsi="Times New Roman"/>
                <w:b w:val="0"/>
                <w:sz w:val="20"/>
              </w:rPr>
              <w:t>Resultado sectorial negativo o positivo aceptado, con alcance representativo. No se precargaron verificaciones ficticias.</w:t>
            </w:r>
          </w:p>
        </w:tc>
      </w:tr>
    </w:tbl>
    <w:p>
      <w:pPr>
        <w:widowControl/>
      </w:pPr>
      <w:r>
        <w:rPr>
          <w:rFonts w:ascii="Times New Roman" w:hAnsi="Times New Roman"/>
          <w:b w:val="0"/>
          <w:color w:val="000000"/>
        </w:rPr>
      </w:r>
    </w:p>
    <w:p>
      <w:pPr>
        <w:widowControl/>
      </w:pPr>
      <w:r>
        <w:rPr>
          <w:rFonts w:ascii="Times New Roman" w:hAnsi="Times New Roman"/>
          <w:b w:val="0"/>
          <w:color w:val="000000"/>
        </w:rPr>
        <w:t>Un área puede verse del mismo azul porque sus polígonos comparten una celda meteorológica de aproximadamente 9 km. El mapa no inventa variación calle por calle. La reproducción horaria sí muestra cómo cambia el valor del modelo con el tiempo.</w:t>
      </w:r>
    </w:p>
    <w:p>
      <w:r>
        <w:br w:type="page"/>
      </w:r>
    </w:p>
    <w:p>
      <w:pPr>
        <w:pStyle w:val="Heading1"/>
      </w:pPr>
      <w:r>
        <w:t>III  Buscar una zona y sus subdivisiones</w:t>
      </w:r>
    </w:p>
    <w:p>
      <w:pPr>
        <w:widowControl/>
      </w:pPr>
      <w:r>
        <w:rPr>
          <w:rFonts w:ascii="Times New Roman" w:hAnsi="Times New Roman"/>
          <w:b w:val="0"/>
          <w:color w:val="000000"/>
        </w:rPr>
        <w:t>Escribe Urdesa en Find a named area y selecciona el resultado. El mapa deja solo sus 89 polígonos, las cifras usan ese mismo conjunto y la ficha de área muestra únicamente los registros localizados allí. La fuente municipal contiene 95 áreas de nomenclatura. La asignación a los polígonos INEC produce 100 grupos, incluidos grupos de periferia y parroquias rurales [2], [3].</w:t>
      </w:r>
    </w:p>
    <w:p>
      <w:pPr>
        <w:widowControl/>
      </w:pPr>
      <w:r>
        <w:rPr>
          <w:rFonts w:ascii="Times New Roman" w:hAnsi="Times New Roman"/>
          <w:b w:val="0"/>
          <w:color w:val="000000"/>
        </w:rPr>
        <w:t>Census polygons conserva las unidades pequeñas existentes. Named areas agrega contornos y nombres de las agrupaciones. Un grupo puede contener muchos polígonos, pero no los recorta ni cambia sus identificadores oficiales. Al abrir uno aparece un nombre como Urdesa junto al identificador; el código completo permanece disponible para trazabilidad.</w:t>
      </w:r>
    </w:p>
    <w:p>
      <w:pPr>
        <w:widowControl/>
      </w:pPr>
      <w:r>
        <w:rPr>
          <w:rFonts w:ascii="Times New Roman" w:hAnsi="Times New Roman"/>
          <w:b w:val="0"/>
          <w:color w:val="000000"/>
        </w:rPr>
        <w:t>Para asignar el nombre se compara la superficie original del polígono con el área municipal. Se requiere que una sola área cubra más de la mitad. Si esto no puede establecerse, se conserva una agrupación de parroquia o periferia. El contorno resultante es una unidad de consulta y no un nuevo límite legal. La página municipal y el método quedan documentados.</w:t>
      </w:r>
    </w:p>
    <w:p>
      <w:pPr>
        <w:widowControl/>
      </w:pPr>
      <w:r>
        <w:rPr>
          <w:rFonts w:ascii="Times New Roman" w:hAnsi="Times New Roman"/>
          <w:b w:val="0"/>
          <w:color w:val="000000"/>
        </w:rPr>
        <w:t>El buscador reconoce Samborondón y la variante San Borondón. Ese nombre pertenece a otro cantón [4]. Se muestran 246 unidades INEC como contexto geográfico, sin copiarles la lluvia, los incidentes o el índice de Guayaquil. Para continuar el análisis real del episodio, elige una zona dentro de la cobertura analizada.</w:t>
      </w:r>
    </w:p>
    <w:p>
      <w:pPr>
        <w:pStyle w:val="Heading1"/>
      </w:pPr>
      <w:r>
        <w:t>Ejemplo comprobable de Urdesa</w:t>
      </w:r>
    </w:p>
    <w:p>
      <w:pPr>
        <w:widowControl/>
      </w:pPr>
      <w:r>
        <w:rPr>
          <w:rFonts w:ascii="Times New Roman" w:hAnsi="Times New Roman"/>
          <w:b w:val="0"/>
          <w:color w:val="000000"/>
        </w:rPr>
        <w:t>En el episodio 24–25 de octubre, Urdesa reúne 89 polígonos, tres registros puntuales localizados y un valor de lluvia modelada de 22,3 mm compartido por sus celdas asignadas. La unión susceptible intersecta aproximadamente 1,05 km² de 2,95 km² con geometría histórica utilizable. Esa superficie expresa susceptibilidad documentada, no el área que se inundó ese día.</w:t>
      </w:r>
    </w:p>
    <w:p>
      <w:pPr>
        <w:widowControl/>
      </w:pPr>
      <w:r>
        <w:rPr>
          <w:rFonts w:ascii="Times New Roman" w:hAnsi="Times New Roman"/>
          <w:b w:val="0"/>
          <w:color w:val="000000"/>
        </w:rPr>
        <w:t>Los registros sin coordenadas se conservan en el catálogo general; no se fuerzan dentro de una agrupación. Una mención textual a una ciudadela no basta para atribuirle un polígono preciso. Por ello, los números filtrados pueden ser menores que el total mencionado por una noticia.</w:t>
      </w:r>
    </w:p>
    <w:p>
      <w:r>
        <w:br w:type="page"/>
      </w:r>
    </w:p>
    <w:p>
      <w:pPr>
        <w:pStyle w:val="Heading1"/>
      </w:pPr>
      <w:r>
        <w:t>IV  Entender las pantallas</w:t>
      </w:r>
    </w:p>
    <w:tbl>
      <w:tblPr>
        <w:tblW w:type="auto" w:w="0"/>
        <w:tblLayout w:type="fixed"/>
        <w:tblLook w:firstColumn="1" w:firstRow="1" w:lastColumn="0" w:lastRow="0" w:noHBand="0" w:noVBand="1" w:val="04A0"/>
      </w:tblPr>
      <w:tblGrid>
        <w:gridCol w:w="4734"/>
        <w:gridCol w:w="4734"/>
      </w:tblGrid>
      <w:tr>
        <w:trPr>
          <w:tblHeader/>
          <w:cantSplit/>
        </w:trPr>
        <w:tc>
          <w:tcPr>
            <w:tcW w:type="dxa" w:w="4734"/>
            <w:tcBorders>
              <w:top w:val="single" w:sz="4" w:color="D9D9D9"/>
              <w:left w:val="single" w:sz="4" w:color="D9D9D9"/>
              <w:bottom w:val="single" w:sz="4" w:color="D9D9D9"/>
              <w:right w:val="single" w:sz="4" w:color="D9D9D9"/>
            </w:tcBorders>
            <w:shd w:fill="DDE8EF"/>
            <w:tcMar>
              <w:top w:w="75" w:type="dxa"/>
              <w:left w:w="75" w:type="dxa"/>
              <w:bottom w:w="75" w:type="dxa"/>
              <w:right w:w="75" w:type="dxa"/>
            </w:tcMar>
          </w:tcPr>
          <w:p>
            <w:pPr>
              <w:spacing w:after="60" w:before="40"/>
            </w:pPr>
            <w:r>
              <w:rPr>
                <w:rFonts w:ascii="Times New Roman" w:hAnsi="Times New Roman"/>
                <w:b/>
                <w:sz w:val="20"/>
              </w:rPr>
              <w:t>Pantalla en inglés</w:t>
            </w:r>
          </w:p>
        </w:tc>
        <w:tc>
          <w:tcPr>
            <w:tcW w:type="dxa" w:w="4734"/>
            <w:tcBorders>
              <w:top w:val="single" w:sz="4" w:color="D9D9D9"/>
              <w:left w:val="single" w:sz="4" w:color="D9D9D9"/>
              <w:bottom w:val="single" w:sz="4" w:color="D9D9D9"/>
              <w:right w:val="single" w:sz="4" w:color="D9D9D9"/>
            </w:tcBorders>
            <w:shd w:fill="DDE8EF"/>
            <w:tcMar>
              <w:top w:w="75" w:type="dxa"/>
              <w:left w:w="75" w:type="dxa"/>
              <w:bottom w:w="75" w:type="dxa"/>
              <w:right w:w="75" w:type="dxa"/>
            </w:tcMar>
          </w:tcPr>
          <w:p>
            <w:pPr>
              <w:spacing w:after="60" w:before="40"/>
            </w:pPr>
            <w:r>
              <w:rPr>
                <w:rFonts w:ascii="Times New Roman" w:hAnsi="Times New Roman"/>
                <w:b/>
                <w:sz w:val="20"/>
              </w:rPr>
              <w:t>Qué consultar</w:t>
            </w:r>
          </w:p>
        </w:tc>
      </w:tr>
      <w:tr>
        <w:trPr>
          <w:cantSplit/>
        </w:trPr>
        <w:tc>
          <w:tcPr>
            <w:tcW w:type="dxa" w:w="4734"/>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60" w:before="40"/>
            </w:pPr>
            <w:r>
              <w:rPr>
                <w:rFonts w:ascii="Times New Roman" w:hAnsi="Times New Roman"/>
                <w:b w:val="0"/>
                <w:sz w:val="20"/>
              </w:rPr>
              <w:t>Storm summary</w:t>
            </w:r>
          </w:p>
        </w:tc>
        <w:tc>
          <w:tcPr>
            <w:tcW w:type="dxa" w:w="4734"/>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60" w:before="40"/>
            </w:pPr>
            <w:r>
              <w:rPr>
                <w:rFonts w:ascii="Times New Roman" w:hAnsi="Times New Roman"/>
                <w:b w:val="0"/>
                <w:sz w:val="20"/>
              </w:rPr>
              <w:t>Resumen del episodio. Observa lugares publicados, cobertura, candidatos para evidencia y el significado de la capa elegida.</w:t>
            </w:r>
          </w:p>
        </w:tc>
      </w:tr>
      <w:tr>
        <w:trPr>
          <w:cantSplit/>
        </w:trPr>
        <w:tc>
          <w:tcPr>
            <w:tcW w:type="dxa" w:w="4734"/>
            <w:tcBorders>
              <w:top w:val="single" w:sz="4" w:color="D9D9D9"/>
              <w:left w:val="single" w:sz="4" w:color="D9D9D9"/>
              <w:bottom w:val="single" w:sz="4" w:color="D9D9D9"/>
              <w:right w:val="single" w:sz="4" w:color="D9D9D9"/>
            </w:tcBorders>
            <w:shd w:fill="F4F7F9"/>
            <w:tcMar>
              <w:top w:w="75" w:type="dxa"/>
              <w:left w:w="75" w:type="dxa"/>
              <w:bottom w:w="75" w:type="dxa"/>
              <w:right w:w="75" w:type="dxa"/>
            </w:tcMar>
          </w:tcPr>
          <w:p>
            <w:pPr>
              <w:spacing w:after="60" w:before="40"/>
            </w:pPr>
            <w:r>
              <w:rPr>
                <w:rFonts w:ascii="Times New Roman" w:hAnsi="Times New Roman"/>
                <w:b w:val="0"/>
                <w:sz w:val="20"/>
              </w:rPr>
              <w:t>Before rain</w:t>
            </w:r>
          </w:p>
        </w:tc>
        <w:tc>
          <w:tcPr>
            <w:tcW w:type="dxa" w:w="4734"/>
            <w:tcBorders>
              <w:top w:val="single" w:sz="4" w:color="D9D9D9"/>
              <w:left w:val="single" w:sz="4" w:color="D9D9D9"/>
              <w:bottom w:val="single" w:sz="4" w:color="D9D9D9"/>
              <w:right w:val="single" w:sz="4" w:color="D9D9D9"/>
            </w:tcBorders>
            <w:shd w:fill="F4F7F9"/>
            <w:tcMar>
              <w:top w:w="75" w:type="dxa"/>
              <w:left w:w="75" w:type="dxa"/>
              <w:bottom w:w="75" w:type="dxa"/>
              <w:right w:w="75" w:type="dxa"/>
            </w:tcMar>
          </w:tcPr>
          <w:p>
            <w:pPr>
              <w:spacing w:after="60" w:before="40"/>
            </w:pPr>
            <w:r>
              <w:rPr>
                <w:rFonts w:ascii="Times New Roman" w:hAnsi="Times New Roman"/>
                <w:b w:val="0"/>
                <w:sz w:val="20"/>
              </w:rPr>
              <w:t>Lo que esperaba un modelo de lluvia para ese episodio. Consulta milímetros previstos y las contribuciones de la prioridad territorial.</w:t>
            </w:r>
          </w:p>
        </w:tc>
      </w:tr>
      <w:tr>
        <w:trPr>
          <w:cantSplit/>
        </w:trPr>
        <w:tc>
          <w:tcPr>
            <w:tcW w:type="dxa" w:w="4734"/>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60" w:before="40"/>
            </w:pPr>
            <w:r>
              <w:rPr>
                <w:rFonts w:ascii="Times New Roman" w:hAnsi="Times New Roman"/>
                <w:b w:val="0"/>
                <w:sz w:val="20"/>
              </w:rPr>
              <w:t>Rainfall replay</w:t>
            </w:r>
          </w:p>
        </w:tc>
        <w:tc>
          <w:tcPr>
            <w:tcW w:type="dxa" w:w="4734"/>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60" w:before="40"/>
            </w:pPr>
            <w:r>
              <w:rPr>
                <w:rFonts w:ascii="Times New Roman" w:hAnsi="Times New Roman"/>
                <w:b w:val="0"/>
                <w:sz w:val="20"/>
              </w:rPr>
              <w:t>Recorrido de estimaciones horarias del modelo. Usa Play rainfall replay, el deslizador o las flechas. No es un radar ni un seguimiento instrumental en vivo.</w:t>
            </w:r>
          </w:p>
        </w:tc>
      </w:tr>
      <w:tr>
        <w:trPr>
          <w:cantSplit/>
        </w:trPr>
        <w:tc>
          <w:tcPr>
            <w:tcW w:type="dxa" w:w="4734"/>
            <w:tcBorders>
              <w:top w:val="single" w:sz="4" w:color="D9D9D9"/>
              <w:left w:val="single" w:sz="4" w:color="D9D9D9"/>
              <w:bottom w:val="single" w:sz="4" w:color="D9D9D9"/>
              <w:right w:val="single" w:sz="4" w:color="D9D9D9"/>
            </w:tcBorders>
            <w:shd w:fill="F4F7F9"/>
            <w:tcMar>
              <w:top w:w="75" w:type="dxa"/>
              <w:left w:w="75" w:type="dxa"/>
              <w:bottom w:w="75" w:type="dxa"/>
              <w:right w:w="75" w:type="dxa"/>
            </w:tcMar>
          </w:tcPr>
          <w:p>
            <w:pPr>
              <w:spacing w:after="60" w:before="40"/>
            </w:pPr>
            <w:r>
              <w:rPr>
                <w:rFonts w:ascii="Times New Roman" w:hAnsi="Times New Roman"/>
                <w:b w:val="0"/>
                <w:sz w:val="20"/>
              </w:rPr>
              <w:t>Reported impacts</w:t>
            </w:r>
          </w:p>
        </w:tc>
        <w:tc>
          <w:tcPr>
            <w:tcW w:type="dxa" w:w="4734"/>
            <w:tcBorders>
              <w:top w:val="single" w:sz="4" w:color="D9D9D9"/>
              <w:left w:val="single" w:sz="4" w:color="D9D9D9"/>
              <w:bottom w:val="single" w:sz="4" w:color="D9D9D9"/>
              <w:right w:val="single" w:sz="4" w:color="D9D9D9"/>
            </w:tcBorders>
            <w:shd w:fill="F4F7F9"/>
            <w:tcMar>
              <w:top w:w="75" w:type="dxa"/>
              <w:left w:w="75" w:type="dxa"/>
              <w:bottom w:w="75" w:type="dxa"/>
              <w:right w:w="75" w:type="dxa"/>
            </w:tcMar>
          </w:tcPr>
          <w:p>
            <w:pPr>
              <w:spacing w:after="60" w:before="40"/>
            </w:pPr>
            <w:r>
              <w:rPr>
                <w:rFonts w:ascii="Times New Roman" w:hAnsi="Times New Roman"/>
                <w:b w:val="0"/>
                <w:sz w:val="20"/>
              </w:rPr>
              <w:t>Lluvia estimada después y ubicaciones reportadas. Revisa verificaciones, denominadores y comparación con las condiciones esperadas.</w:t>
            </w:r>
          </w:p>
        </w:tc>
      </w:tr>
      <w:tr>
        <w:trPr>
          <w:cantSplit/>
        </w:trPr>
        <w:tc>
          <w:tcPr>
            <w:tcW w:type="dxa" w:w="4734"/>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60" w:before="40"/>
            </w:pPr>
            <w:r>
              <w:rPr>
                <w:rFonts w:ascii="Times New Roman" w:hAnsi="Times New Roman"/>
                <w:b w:val="0"/>
                <w:sz w:val="20"/>
              </w:rPr>
              <w:t>Research lab</w:t>
            </w:r>
          </w:p>
        </w:tc>
        <w:tc>
          <w:tcPr>
            <w:tcW w:type="dxa" w:w="4734"/>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60" w:before="40"/>
            </w:pPr>
            <w:r>
              <w:rPr>
                <w:rFonts w:ascii="Times New Roman" w:hAnsi="Times New Roman"/>
                <w:b w:val="0"/>
                <w:sz w:val="20"/>
              </w:rPr>
              <w:t>Experimento separado para estudiar subregistro y verificar sectores sintéticos. Esos incidentes no describen la ciudad actual.</w:t>
            </w:r>
          </w:p>
        </w:tc>
      </w:tr>
    </w:tbl>
    <w:p>
      <w:pPr>
        <w:widowControl/>
      </w:pPr>
      <w:r>
        <w:rPr>
          <w:rFonts w:ascii="Times New Roman" w:hAnsi="Times New Roman"/>
          <w:b w:val="0"/>
          <w:color w:val="000000"/>
        </w:rPr>
      </w:r>
    </w:p>
    <w:p>
      <w:pPr>
        <w:pStyle w:val="Heading1"/>
      </w:pPr>
      <w:r>
        <w:t>Qué quiere decir un pronóstico guardado de un episodio pasado</w:t>
      </w:r>
    </w:p>
    <w:p>
      <w:pPr>
        <w:widowControl/>
      </w:pPr>
      <w:r>
        <w:rPr>
          <w:rFonts w:ascii="Times New Roman" w:hAnsi="Times New Roman"/>
          <w:b w:val="0"/>
          <w:color w:val="000000"/>
        </w:rPr>
        <w:t>Un pronóstico es lo que el modelo esperaba que lloviera. Para reconstruir octubre se recuperó después una corrida que se había inicializado antes del episodio [5]. Eso permite examinar la expectativa meteorológica, pero no demuestra que FLOODSHADOW publicara ese análisis antes de la lluvia. Inicialización del modelo, publicación del proveedor y recepción por la aplicación son tiempos diferentes.</w:t>
      </w:r>
    </w:p>
    <w:p>
      <w:pPr>
        <w:widowControl/>
      </w:pPr>
      <w:r>
        <w:rPr>
          <w:rFonts w:ascii="Times New Roman" w:hAnsi="Times New Roman"/>
          <w:b w:val="0"/>
          <w:color w:val="000000"/>
        </w:rPr>
        <w:t>Además existe una captura recibida el 25 de octubre a las 18:34, antes de su ventana de 72 horas iniciada a las 19:00, en hora de Guayaquil. Esa evaluación queda preservada para compararla con observaciones futuras. No se debe convertir la reconstrucción histórica en un acierto previo ni reemplazar valores iniciales después de ver los resultados.</w:t>
      </w:r>
    </w:p>
    <w:p>
      <w:pPr>
        <w:pStyle w:val="Heading1"/>
      </w:pPr>
      <w:r>
        <w:t>Recorrido de cinco acciones</w:t>
      </w:r>
    </w:p>
    <w:p>
      <w:pPr>
        <w:widowControl/>
      </w:pPr>
      <w:r>
        <w:rPr>
          <w:rFonts w:ascii="Times New Roman" w:hAnsi="Times New Roman"/>
          <w:b w:val="0"/>
          <w:color w:val="000000"/>
        </w:rPr>
        <w:t>1. Selecciona el episodio 24–25 de octubre y busca Urdesa. 2. Abre Before rain y un polígono para leer lluvia esperada y prioridad. 3. Cambia a Rainfall replay y reproduce las horas. 4. Abre Reported impacts para contrastar lluvia estimada y registros, manteniendo el mismo lugar. 5. Consulta la fuente o registra una verificación real; usa Research lab cuando necesites ensayar resultados inventados.</w:t>
      </w:r>
    </w:p>
    <w:p>
      <w:r>
        <w:br w:type="page"/>
      </w:r>
    </w:p>
    <w:p>
      <w:pPr>
        <w:pStyle w:val="Heading1"/>
      </w:pPr>
      <w:r>
        <w:t>V  Datos y método sin confusiones</w:t>
      </w:r>
    </w:p>
    <w:p>
      <w:pPr>
        <w:widowControl/>
      </w:pPr>
      <w:r>
        <w:rPr>
          <w:rFonts w:ascii="Times New Roman" w:hAnsi="Times New Roman"/>
          <w:b w:val="0"/>
          <w:color w:val="000000"/>
        </w:rPr>
        <w:t>La geografía analizada tiene 6652 polígonos cantonales, con 6416 de cabecera y 236 rurales. El código de cabecera incluye periferia; no se redefine con él un límite urbano legal. La asignación meteorológica por punto representativo alcanza al 99,44% de los polígonos de cabecera, pero al 48,77% de su superficie sumada. Son métricas distintas y no miden cobertura instrumental.</w:t>
      </w:r>
    </w:p>
    <w:p>
      <w:pPr>
        <w:widowControl/>
      </w:pPr>
      <w:r>
        <w:rPr>
          <w:rFonts w:ascii="Times New Roman" w:hAnsi="Times New Roman"/>
          <w:b w:val="0"/>
          <w:color w:val="000000"/>
        </w:rPr>
        <w:t>ESPOL publicó cinco acumulados del 19 de octubre: Cerro Santa Ana 181 mm, Cisne II 141 mm, Martha de Roldós 132 mm, ESPOL 117 mm y Aeropuerto 112 mm [6]. Al no existir coordenadas instrumentales y ventanas exactas compatibles, el sistema no inventa una distribución horaria para esas estaciones ni las interpola por barrios.</w:t>
      </w:r>
    </w:p>
    <w:p>
      <w:pPr>
        <w:widowControl/>
      </w:pPr>
      <w:r>
        <w:rPr>
          <w:rFonts w:ascii="Times New Roman" w:hAnsi="Times New Roman"/>
          <w:b w:val="0"/>
          <w:color w:val="000000"/>
        </w:rPr>
        <w:t>La colección del 24–25 contiene 78 registros de distintos tipos. Incluye 68 acumulaciones urbanas y otras diez novedades; once cruces tienen coordenadas candidatas, siete una asignación sectorial provisional consistente y cuatro sector ambiguo. Los otros 67 registros no reciben coordenadas [7]. No son 68 barrios totalmente inundados.</w:t>
      </w:r>
    </w:p>
    <w:p>
      <w:pPr>
        <w:widowControl/>
      </w:pPr>
      <w:r>
        <w:rPr>
          <w:rFonts w:ascii="Times New Roman" w:hAnsi="Times New Roman"/>
          <w:b w:val="0"/>
          <w:color w:val="000000"/>
        </w:rPr>
        <w:t>La prioridad se calcula como I = 50h + 50r. h es la fracción de superficie que intersecta la unión de susceptibilidad; r es el rango percentil de lluvia prevista entre seis celdas únicas. La lluvia cero aporta cero puntos. Ambos factores deben existir. Los pesos y el umbral 60 son convenciones explícitas, no parámetros calibrados con inundaciones reales.</w:t>
      </w:r>
    </w:p>
    <w:p>
      <w:pPr>
        <w:widowControl/>
      </w:pPr>
      <w:r>
        <w:rPr>
          <w:rFonts w:ascii="Times New Roman" w:hAnsi="Times New Roman"/>
          <w:b w:val="0"/>
          <w:color w:val="000000"/>
        </w:rPr>
        <w:t>La huella histórica contiene 5746 geometrías [8]. No documenta fechas de inundación por barrio. Cuando el usuario solicita historial territorial, se muestra lo que sí puede respaldarse: superficie susceptible, fuente y sus límites. La capacidad hidráulica, mantenimiento y obstrucción de drenajes, topografía detallada y marea siguen sin datos integrados. La consulta de infraestructura municipal falló con HTTP 500; la nueva nomenclatura sí pudo descargarse por otro canal oficial.</w:t>
      </w:r>
    </w:p>
    <w:p>
      <w:pPr>
        <w:pStyle w:val="Heading1"/>
      </w:pPr>
      <w:r>
        <w:t>Qué se validó y qué sigue pendiente</w:t>
      </w:r>
    </w:p>
    <w:p>
      <w:pPr>
        <w:widowControl/>
      </w:pPr>
      <w:r>
        <w:rPr>
          <w:rFonts w:ascii="Times New Roman" w:hAnsi="Times New Roman"/>
          <w:b w:val="0"/>
          <w:color w:val="000000"/>
        </w:rPr>
        <w:t>Se comprobaron IDs, pertenencia única por grupo, geometrías, horas, faltantes, cálculos, correcciones y trazabilidad. Hay 38 pruebas automatizadas aprobadas. Eso valida estructura y comportamiento del software. No valida en campo la ocurrencia de inundaciones ni calibra una probabilidad. En el caso 24–25, ninguno de seis polígonos candidatos con índice calculable supera 60; un séptimo carece de índice. No se ocultó ese resultado ni se bajó el umbral para aparentar éxito.</w:t>
      </w:r>
    </w:p>
    <w:p>
      <w:r>
        <w:br w:type="page"/>
      </w:r>
    </w:p>
    <w:p>
      <w:pPr>
        <w:pStyle w:val="Heading1"/>
      </w:pPr>
      <w:r>
        <w:t>VI  Verificación y aprendizaje</w:t>
      </w:r>
    </w:p>
    <w:p>
      <w:pPr>
        <w:widowControl/>
      </w:pPr>
      <w:r>
        <w:rPr>
          <w:rFonts w:ascii="Times New Roman" w:hAnsi="Times New Roman"/>
          <w:b w:val="0"/>
          <w:color w:val="000000"/>
        </w:rPr>
        <w:t>Una verificación añade evidencia observada, no una opinión basada en el color. Debe indicar episodio, polígono, momento, resultado, responsable, método, descripción, enlace y alcance. Se guarda pendiente y requiere revisión declarada por el operador. La aplicación todavía no autentica a una entidad inspectora ni sincroniza varios dispositivos.</w:t>
      </w:r>
    </w:p>
    <w:p>
      <w:pPr>
        <w:widowControl/>
      </w:pPr>
      <w:r>
        <w:rPr>
          <w:rFonts w:ascii="Times New Roman" w:hAnsi="Times New Roman"/>
          <w:b w:val="0"/>
          <w:color w:val="000000"/>
        </w:rPr>
        <w:t>Una inspección puntual no confirma un polígono completo. Para un resultado sectorial negativo se necesita evidencia representativa de toda la ventana terminada; una visita cuando ya dejó de llover no demuestra que nunca hubo afectación. Las correcciones conservan el registro anterior. La evidencia aceptada más reciente cambia el estado, las métricas y la siguiente cola de revisión.</w:t>
      </w:r>
    </w:p>
    <w:p>
      <w:pPr>
        <w:widowControl/>
      </w:pPr>
      <w:r>
        <w:rPr>
          <w:rFonts w:ascii="Times New Roman" w:hAnsi="Times New Roman"/>
          <w:b w:val="0"/>
          <w:color w:val="000000"/>
        </w:rPr>
        <w:t>Los datos reales no reentrenan automáticamente un predictor útil con tan pocas muestras. El laboratorio demuestra otra función: una observación experimental positiva o negativa actualiza inferencias espaciales. Separar ocurrencia de observación se relaciona con métodos de detección imperfecta [9], pero no establece que el modelo esté calibrado para Guayaquil.</w:t>
      </w:r>
    </w:p>
    <w:p>
      <w:pPr>
        <w:pStyle w:val="Heading1"/>
      </w:pPr>
      <w:r>
        <w:t>Respuestas claras para el jurado</w:t>
      </w:r>
    </w:p>
    <w:tbl>
      <w:tblPr>
        <w:tblW w:type="auto" w:w="0"/>
        <w:tblLayout w:type="fixed"/>
        <w:tblLook w:firstColumn="1" w:firstRow="1" w:lastColumn="0" w:lastRow="0" w:noHBand="0" w:noVBand="1" w:val="04A0"/>
      </w:tblPr>
      <w:tblGrid>
        <w:gridCol w:w="4734"/>
        <w:gridCol w:w="4734"/>
      </w:tblGrid>
      <w:tr>
        <w:trPr>
          <w:tblHeader/>
          <w:cantSplit/>
        </w:trPr>
        <w:tc>
          <w:tcPr>
            <w:tcW w:type="dxa" w:w="4734"/>
            <w:tcBorders>
              <w:top w:val="single" w:sz="4" w:color="D9D9D9"/>
              <w:left w:val="single" w:sz="4" w:color="D9D9D9"/>
              <w:bottom w:val="single" w:sz="4" w:color="D9D9D9"/>
              <w:right w:val="single" w:sz="4" w:color="D9D9D9"/>
            </w:tcBorders>
            <w:shd w:fill="DDE8EF"/>
            <w:tcMar>
              <w:top w:w="75" w:type="dxa"/>
              <w:left w:w="75" w:type="dxa"/>
              <w:bottom w:w="75" w:type="dxa"/>
              <w:right w:w="75" w:type="dxa"/>
            </w:tcMar>
          </w:tcPr>
          <w:p>
            <w:pPr>
              <w:spacing w:after="60" w:before="40"/>
            </w:pPr>
            <w:r>
              <w:rPr>
                <w:rFonts w:ascii="Times New Roman" w:hAnsi="Times New Roman"/>
                <w:b/>
                <w:sz w:val="20"/>
              </w:rPr>
              <w:t>Pregunta</w:t>
            </w:r>
          </w:p>
        </w:tc>
        <w:tc>
          <w:tcPr>
            <w:tcW w:type="dxa" w:w="4734"/>
            <w:tcBorders>
              <w:top w:val="single" w:sz="4" w:color="D9D9D9"/>
              <w:left w:val="single" w:sz="4" w:color="D9D9D9"/>
              <w:bottom w:val="single" w:sz="4" w:color="D9D9D9"/>
              <w:right w:val="single" w:sz="4" w:color="D9D9D9"/>
            </w:tcBorders>
            <w:shd w:fill="DDE8EF"/>
            <w:tcMar>
              <w:top w:w="75" w:type="dxa"/>
              <w:left w:w="75" w:type="dxa"/>
              <w:bottom w:w="75" w:type="dxa"/>
              <w:right w:w="75" w:type="dxa"/>
            </w:tcMar>
          </w:tcPr>
          <w:p>
            <w:pPr>
              <w:spacing w:after="60" w:before="40"/>
            </w:pPr>
            <w:r>
              <w:rPr>
                <w:rFonts w:ascii="Times New Roman" w:hAnsi="Times New Roman"/>
                <w:b/>
                <w:sz w:val="20"/>
              </w:rPr>
              <w:t>Respuesta defendible</w:t>
            </w:r>
          </w:p>
        </w:tc>
      </w:tr>
      <w:tr>
        <w:trPr>
          <w:cantSplit/>
        </w:trPr>
        <w:tc>
          <w:tcPr>
            <w:tcW w:type="dxa" w:w="4734"/>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60" w:before="40"/>
            </w:pPr>
            <w:r>
              <w:rPr>
                <w:rFonts w:ascii="Times New Roman" w:hAnsi="Times New Roman"/>
                <w:b w:val="0"/>
                <w:sz w:val="20"/>
              </w:rPr>
              <w:t>¿El 80 significa 80% de inundación?</w:t>
            </w:r>
          </w:p>
        </w:tc>
        <w:tc>
          <w:tcPr>
            <w:tcW w:type="dxa" w:w="4734"/>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60" w:before="40"/>
            </w:pPr>
            <w:r>
              <w:rPr>
                <w:rFonts w:ascii="Times New Roman" w:hAnsi="Times New Roman"/>
                <w:b w:val="0"/>
                <w:sz w:val="20"/>
              </w:rPr>
              <w:t>No. Es una prioridad relativa de 80 sobre 100 según dos factores disponibles.</w:t>
            </w:r>
          </w:p>
        </w:tc>
      </w:tr>
      <w:tr>
        <w:trPr>
          <w:cantSplit/>
        </w:trPr>
        <w:tc>
          <w:tcPr>
            <w:tcW w:type="dxa" w:w="4734"/>
            <w:tcBorders>
              <w:top w:val="single" w:sz="4" w:color="D9D9D9"/>
              <w:left w:val="single" w:sz="4" w:color="D9D9D9"/>
              <w:bottom w:val="single" w:sz="4" w:color="D9D9D9"/>
              <w:right w:val="single" w:sz="4" w:color="D9D9D9"/>
            </w:tcBorders>
            <w:shd w:fill="F4F7F9"/>
            <w:tcMar>
              <w:top w:w="75" w:type="dxa"/>
              <w:left w:w="75" w:type="dxa"/>
              <w:bottom w:w="75" w:type="dxa"/>
              <w:right w:w="75" w:type="dxa"/>
            </w:tcMar>
          </w:tcPr>
          <w:p>
            <w:pPr>
              <w:spacing w:after="60" w:before="40"/>
            </w:pPr>
            <w:r>
              <w:rPr>
                <w:rFonts w:ascii="Times New Roman" w:hAnsi="Times New Roman"/>
                <w:b w:val="0"/>
                <w:sz w:val="20"/>
              </w:rPr>
              <w:t>¿Por qué varios polígonos tienen igual azul?</w:t>
            </w:r>
          </w:p>
        </w:tc>
        <w:tc>
          <w:tcPr>
            <w:tcW w:type="dxa" w:w="4734"/>
            <w:tcBorders>
              <w:top w:val="single" w:sz="4" w:color="D9D9D9"/>
              <w:left w:val="single" w:sz="4" w:color="D9D9D9"/>
              <w:bottom w:val="single" w:sz="4" w:color="D9D9D9"/>
              <w:right w:val="single" w:sz="4" w:color="D9D9D9"/>
            </w:tcBorders>
            <w:shd w:fill="F4F7F9"/>
            <w:tcMar>
              <w:top w:w="75" w:type="dxa"/>
              <w:left w:w="75" w:type="dxa"/>
              <w:bottom w:w="75" w:type="dxa"/>
              <w:right w:w="75" w:type="dxa"/>
            </w:tcMar>
          </w:tcPr>
          <w:p>
            <w:pPr>
              <w:spacing w:after="60" w:before="40"/>
            </w:pPr>
            <w:r>
              <w:rPr>
                <w:rFonts w:ascii="Times New Roman" w:hAnsi="Times New Roman"/>
                <w:b w:val="0"/>
                <w:sz w:val="20"/>
              </w:rPr>
              <w:t>Comparten una celda meteorológica gruesa; no se inventa precisión local.</w:t>
            </w:r>
          </w:p>
        </w:tc>
      </w:tr>
      <w:tr>
        <w:trPr>
          <w:cantSplit/>
        </w:trPr>
        <w:tc>
          <w:tcPr>
            <w:tcW w:type="dxa" w:w="4734"/>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60" w:before="40"/>
            </w:pPr>
            <w:r>
              <w:rPr>
                <w:rFonts w:ascii="Times New Roman" w:hAnsi="Times New Roman"/>
                <w:b w:val="0"/>
                <w:sz w:val="20"/>
              </w:rPr>
              <w:t>¿Gris significa que no pasó nada?</w:t>
            </w:r>
          </w:p>
        </w:tc>
        <w:tc>
          <w:tcPr>
            <w:tcW w:type="dxa" w:w="4734"/>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60" w:before="40"/>
            </w:pPr>
            <w:r>
              <w:rPr>
                <w:rFonts w:ascii="Times New Roman" w:hAnsi="Times New Roman"/>
                <w:b w:val="0"/>
                <w:sz w:val="20"/>
              </w:rPr>
              <w:t>No. Significa dato faltante o ausencia de verificación completa, según la capa.</w:t>
            </w:r>
          </w:p>
        </w:tc>
      </w:tr>
      <w:tr>
        <w:trPr>
          <w:cantSplit/>
        </w:trPr>
        <w:tc>
          <w:tcPr>
            <w:tcW w:type="dxa" w:w="4734"/>
            <w:tcBorders>
              <w:top w:val="single" w:sz="4" w:color="D9D9D9"/>
              <w:left w:val="single" w:sz="4" w:color="D9D9D9"/>
              <w:bottom w:val="single" w:sz="4" w:color="D9D9D9"/>
              <w:right w:val="single" w:sz="4" w:color="D9D9D9"/>
            </w:tcBorders>
            <w:shd w:fill="F4F7F9"/>
            <w:tcMar>
              <w:top w:w="75" w:type="dxa"/>
              <w:left w:w="75" w:type="dxa"/>
              <w:bottom w:w="75" w:type="dxa"/>
              <w:right w:w="75" w:type="dxa"/>
            </w:tcMar>
          </w:tcPr>
          <w:p>
            <w:pPr>
              <w:spacing w:after="60" w:before="40"/>
            </w:pPr>
            <w:r>
              <w:rPr>
                <w:rFonts w:ascii="Times New Roman" w:hAnsi="Times New Roman"/>
                <w:b w:val="0"/>
                <w:sz w:val="20"/>
              </w:rPr>
              <w:t>¿Aprende con una inspección?</w:t>
            </w:r>
          </w:p>
        </w:tc>
        <w:tc>
          <w:tcPr>
            <w:tcW w:type="dxa" w:w="4734"/>
            <w:tcBorders>
              <w:top w:val="single" w:sz="4" w:color="D9D9D9"/>
              <w:left w:val="single" w:sz="4" w:color="D9D9D9"/>
              <w:bottom w:val="single" w:sz="4" w:color="D9D9D9"/>
              <w:right w:val="single" w:sz="4" w:color="D9D9D9"/>
            </w:tcBorders>
            <w:shd w:fill="F4F7F9"/>
            <w:tcMar>
              <w:top w:w="75" w:type="dxa"/>
              <w:left w:w="75" w:type="dxa"/>
              <w:bottom w:w="75" w:type="dxa"/>
              <w:right w:w="75" w:type="dxa"/>
            </w:tcMar>
          </w:tcPr>
          <w:p>
            <w:pPr>
              <w:spacing w:after="60" w:before="40"/>
            </w:pPr>
            <w:r>
              <w:rPr>
                <w:rFonts w:ascii="Times New Roman" w:hAnsi="Times New Roman"/>
                <w:b w:val="0"/>
                <w:sz w:val="20"/>
              </w:rPr>
              <w:t>Actualiza evidencia y recomendaciones; el aprendizaje probabilístico se demuestra en el laboratorio.</w:t>
            </w:r>
          </w:p>
        </w:tc>
      </w:tr>
      <w:tr>
        <w:trPr>
          <w:cantSplit/>
        </w:trPr>
        <w:tc>
          <w:tcPr>
            <w:tcW w:type="dxa" w:w="4734"/>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60" w:before="40"/>
            </w:pPr>
            <w:r>
              <w:rPr>
                <w:rFonts w:ascii="Times New Roman" w:hAnsi="Times New Roman"/>
                <w:b w:val="0"/>
                <w:sz w:val="20"/>
              </w:rPr>
              <w:t>¿Supera al algoritmo anterior?</w:t>
            </w:r>
          </w:p>
        </w:tc>
        <w:tc>
          <w:tcPr>
            <w:tcW w:type="dxa" w:w="4734"/>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60" w:before="40"/>
            </w:pPr>
            <w:r>
              <w:rPr>
                <w:rFonts w:ascii="Times New Roman" w:hAnsi="Times New Roman"/>
                <w:b w:val="0"/>
                <w:sz w:val="20"/>
              </w:rPr>
              <w:t>No se demuestra superioridad real. El benchmark sintético conserva comparadores y resultados mixtos.</w:t>
            </w:r>
          </w:p>
        </w:tc>
      </w:tr>
      <w:tr>
        <w:trPr>
          <w:cantSplit/>
        </w:trPr>
        <w:tc>
          <w:tcPr>
            <w:tcW w:type="dxa" w:w="4734"/>
            <w:tcBorders>
              <w:top w:val="single" w:sz="4" w:color="D9D9D9"/>
              <w:left w:val="single" w:sz="4" w:color="D9D9D9"/>
              <w:bottom w:val="single" w:sz="4" w:color="D9D9D9"/>
              <w:right w:val="single" w:sz="4" w:color="D9D9D9"/>
            </w:tcBorders>
            <w:shd w:fill="F4F7F9"/>
            <w:tcMar>
              <w:top w:w="75" w:type="dxa"/>
              <w:left w:w="75" w:type="dxa"/>
              <w:bottom w:w="75" w:type="dxa"/>
              <w:right w:w="75" w:type="dxa"/>
            </w:tcMar>
          </w:tcPr>
          <w:p>
            <w:pPr>
              <w:spacing w:after="60" w:before="40"/>
            </w:pPr>
            <w:r>
              <w:rPr>
                <w:rFonts w:ascii="Times New Roman" w:hAnsi="Times New Roman"/>
                <w:b w:val="0"/>
                <w:sz w:val="20"/>
              </w:rPr>
              <w:t>¿Qué falta para operar?</w:t>
            </w:r>
          </w:p>
        </w:tc>
        <w:tc>
          <w:tcPr>
            <w:tcW w:type="dxa" w:w="4734"/>
            <w:tcBorders>
              <w:top w:val="single" w:sz="4" w:color="D9D9D9"/>
              <w:left w:val="single" w:sz="4" w:color="D9D9D9"/>
              <w:bottom w:val="single" w:sz="4" w:color="D9D9D9"/>
              <w:right w:val="single" w:sz="4" w:color="D9D9D9"/>
            </w:tcBorders>
            <w:shd w:fill="F4F7F9"/>
            <w:tcMar>
              <w:top w:w="75" w:type="dxa"/>
              <w:left w:w="75" w:type="dxa"/>
              <w:bottom w:w="75" w:type="dxa"/>
              <w:right w:w="75" w:type="dxa"/>
            </w:tcMar>
          </w:tcPr>
          <w:p>
            <w:pPr>
              <w:spacing w:after="60" w:before="40"/>
            </w:pPr>
            <w:r>
              <w:rPr>
                <w:rFonts w:ascii="Times New Roman" w:hAnsi="Times New Roman"/>
                <w:b w:val="0"/>
                <w:sz w:val="20"/>
              </w:rPr>
              <w:t>Evidencia representativa, validación prospectiva, fuentes compatibles y revisión institucional.</w:t>
            </w:r>
          </w:p>
        </w:tc>
      </w:tr>
    </w:tbl>
    <w:p>
      <w:pPr>
        <w:widowControl/>
      </w:pPr>
      <w:r>
        <w:rPr>
          <w:rFonts w:ascii="Times New Roman" w:hAnsi="Times New Roman"/>
          <w:b w:val="0"/>
          <w:color w:val="000000"/>
        </w:rPr>
      </w:r>
    </w:p>
    <w:p>
      <w:pPr>
        <w:pStyle w:val="Heading1"/>
      </w:pPr>
      <w:r>
        <w:t>Resultados comparativos del laboratorio</w:t>
      </w:r>
    </w:p>
    <w:p>
      <w:pPr>
        <w:widowControl/>
      </w:pPr>
      <w:r>
        <w:rPr>
          <w:rFonts w:ascii="Times New Roman" w:hAnsi="Times New Roman"/>
          <w:b w:val="0"/>
          <w:color w:val="000000"/>
        </w:rPr>
        <w:t>La evaluación conservada usa 2500 episodios sintéticos y cinco comparadores bajo las mismas condiciones. En Uneven reporting, los descubrimientos ocultos medios por cinco inspecciones son 0,980 con azar o reportes, 1,632 con antecedentes, 1,636 con heurística original y 1,598 con el modelo. Ese escenario no demuestra superioridad sobre antecedentes o heurística. Las simulaciones no son inspecciones reales. Los manifiestos y los intervalos completos permanecen en INFORME-v03.md.</w:t>
      </w:r>
    </w:p>
    <w:p>
      <w:r>
        <w:br w:type="page"/>
      </w:r>
    </w:p>
    <w:p>
      <w:pPr>
        <w:pStyle w:val="Heading1"/>
      </w:pPr>
      <w:r>
        <w:t>VII  Guion del video en inglés</w:t>
      </w:r>
    </w:p>
    <w:p>
      <w:pPr>
        <w:widowControl/>
      </w:pPr>
      <w:r>
        <w:rPr>
          <w:rFonts w:ascii="Times New Roman" w:hAnsi="Times New Roman"/>
          <w:b w:val="0"/>
          <w:color w:val="000000"/>
        </w:rPr>
        <w:t>Video obligatorio máximo de tres minutos. El guion siguiente está pensado para unas 2 min 40 s a 3 min, según pausas y velocidad. Hay que cronometrar una grabación real; contar palabras no certifica duración. Muestra la aplicación mientras se pronuncia el texto.</w:t>
      </w:r>
    </w:p>
    <w:p>
      <w:pPr>
        <w:widowControl/>
      </w:pPr>
      <w:r>
        <w:rPr>
          <w:rFonts w:ascii="Times New Roman" w:hAnsi="Times New Roman"/>
          <w:b w:val="0"/>
          <w:color w:val="000000"/>
        </w:rPr>
        <w:t>Hello, we are 3Jota: José Luis Paladines Sánchez, John Maximiliano Carreño Robalino and Julinho Jesús Plua Mendosa. We built FLOODSHADOW for the Ecuador challenge: helping Guayaquil anticipate and respond better to intense rainfall.</w:t>
      </w:r>
    </w:p>
    <w:p>
      <w:pPr>
        <w:widowControl/>
      </w:pPr>
      <w:r>
        <w:rPr>
          <w:rFonts w:ascii="Times New Roman" w:hAnsi="Times New Roman"/>
          <w:b w:val="0"/>
          <w:color w:val="000000"/>
        </w:rPr>
        <w:t>The problem is not simply a missing map. Weather forecasts, territorial information and incident reports describe different things. A report at one intersection does not mean an entire neighborhood flooded. A place without reports is not necessarily safe.</w:t>
      </w:r>
    </w:p>
    <w:p>
      <w:pPr>
        <w:widowControl/>
      </w:pPr>
      <w:r>
        <w:rPr>
          <w:rFonts w:ascii="Times New Roman" w:hAnsi="Times New Roman"/>
          <w:b w:val="0"/>
          <w:color w:val="000000"/>
        </w:rPr>
        <w:t>FLOODSHADOW connects this evidence around one storm. We preserve 6652 official census polygons and organize them into recognizable named areas. Here, searching Urdesa isolates 89 polygons and updates the map, statistics and evidence together.</w:t>
      </w:r>
    </w:p>
    <w:p>
      <w:pPr>
        <w:widowControl/>
      </w:pPr>
      <w:r>
        <w:rPr>
          <w:rFonts w:ascii="Times New Roman" w:hAnsi="Times New Roman"/>
          <w:b w:val="0"/>
          <w:color w:val="000000"/>
        </w:rPr>
        <w:t>Before rain shows what an earlier weather-model run expected. Amber means relative watch priority, not flood probability. Rainfall replay shows hourly model estimates. Darker blue means more rain on the displayed scale. Nearby polygons may share a coarse weather cell, so we do not invent street-level precision.</w:t>
      </w:r>
    </w:p>
    <w:p>
      <w:pPr>
        <w:widowControl/>
      </w:pPr>
      <w:r>
        <w:rPr>
          <w:rFonts w:ascii="Times New Roman" w:hAnsi="Times New Roman"/>
          <w:b w:val="0"/>
          <w:color w:val="000000"/>
        </w:rPr>
        <w:t>Reported impacts connects modeled rainfall with published locations. Red points are candidate locations, not flooded neighborhood boundaries. Our October 24–25 collection contains 78 typed records. Ambiguous places remain unresolved instead of receiving invented coordinates.</w:t>
      </w:r>
    </w:p>
    <w:p>
      <w:pPr>
        <w:widowControl/>
      </w:pPr>
      <w:r>
        <w:rPr>
          <w:rFonts w:ascii="Times New Roman" w:hAnsi="Times New Roman"/>
          <w:b w:val="0"/>
          <w:color w:val="000000"/>
        </w:rPr>
        <w:t>Shadow Detection asks where further evidence may be useful. A real verification records the source, time, method and scope, then enters review. Accepted evidence updates status and the next verification queue. Our separate Research lab demonstrates how experimental positive and negative checks update spatial inferences.</w:t>
      </w:r>
    </w:p>
    <w:p>
      <w:pPr>
        <w:widowControl/>
      </w:pPr>
      <w:r>
        <w:rPr>
          <w:rFonts w:ascii="Times New Roman" w:hAnsi="Times New Roman"/>
          <w:b w:val="0"/>
          <w:color w:val="000000"/>
        </w:rPr>
        <w:t>We are transparent about limitations. The exploratory index did not highlight any of the six calculable candidate sectors in this historical comparison. We do not claim validated flood prediction. The software passes 38 automated tests, while field validation remains a next step.</w:t>
      </w:r>
    </w:p>
    <w:p>
      <w:pPr>
        <w:widowControl/>
      </w:pPr>
      <w:r>
        <w:rPr>
          <w:rFonts w:ascii="Times New Roman" w:hAnsi="Times New Roman"/>
          <w:b w:val="0"/>
          <w:color w:val="000000"/>
        </w:rPr>
        <w:t>Our contribution is a usable, traceable workflow: understand expected rainfall, inspect documented impacts, identify missing evidence and learn from valid checks. FLOODSHADOW helps the user decide what to investigate next, while keeping uncertainty visible. Thank you.</w:t>
      </w:r>
    </w:p>
    <w:p>
      <w:r>
        <w:br w:type="page"/>
      </w:r>
    </w:p>
    <w:p>
      <w:pPr>
        <w:pStyle w:val="Heading1"/>
      </w:pPr>
      <w:r>
        <w:t>VIII  Presentación en vivo y entrega</w:t>
      </w:r>
    </w:p>
    <w:p>
      <w:pPr>
        <w:widowControl/>
      </w:pPr>
      <w:r>
        <w:rPr>
          <w:rFonts w:ascii="Times New Roman" w:hAnsi="Times New Roman"/>
          <w:b w:val="0"/>
          <w:color w:val="000000"/>
        </w:rPr>
        <w:t>El pitch final previsto por las reglas dura de cinco a siete minutos y también debe ser en inglés [10]. Usa este recorrido con tiempos orientativos: 0:00–0:45 problema y usuario; 0:45–1:30 selección de Urdesa; 1:30–2:20 Before rain; 2:20–3:10 Rainfall replay; 3:10–4:00 Reported impacts; 4:00–5:00 verificación y Research lab; 5:00–6:00 resultados reales, límites y siguiente validación. No presentes una inspección sintética como evidencia de campo.</w:t>
      </w:r>
    </w:p>
    <w:tbl>
      <w:tblPr>
        <w:tblW w:type="auto" w:w="0"/>
        <w:tblLayout w:type="fixed"/>
        <w:tblLook w:firstColumn="1" w:firstRow="1" w:lastColumn="0" w:lastRow="0" w:noHBand="0" w:noVBand="1" w:val="04A0"/>
      </w:tblPr>
      <w:tblGrid>
        <w:gridCol w:w="4734"/>
        <w:gridCol w:w="4734"/>
      </w:tblGrid>
      <w:tr>
        <w:trPr>
          <w:tblHeader/>
          <w:cantSplit/>
        </w:trPr>
        <w:tc>
          <w:tcPr>
            <w:tcW w:type="dxa" w:w="4734"/>
            <w:tcBorders>
              <w:top w:val="single" w:sz="4" w:color="D9D9D9"/>
              <w:left w:val="single" w:sz="4" w:color="D9D9D9"/>
              <w:bottom w:val="single" w:sz="4" w:color="D9D9D9"/>
              <w:right w:val="single" w:sz="4" w:color="D9D9D9"/>
            </w:tcBorders>
            <w:shd w:fill="DDE8EF"/>
            <w:tcMar>
              <w:top w:w="75" w:type="dxa"/>
              <w:left w:w="75" w:type="dxa"/>
              <w:bottom w:w="75" w:type="dxa"/>
              <w:right w:w="75" w:type="dxa"/>
            </w:tcMar>
          </w:tcPr>
          <w:p>
            <w:pPr>
              <w:spacing w:after="60" w:before="40"/>
            </w:pPr>
            <w:r>
              <w:rPr>
                <w:rFonts w:ascii="Times New Roman" w:hAnsi="Times New Roman"/>
                <w:b/>
                <w:sz w:val="20"/>
              </w:rPr>
              <w:t>Requisito de la convocatoria</w:t>
            </w:r>
          </w:p>
        </w:tc>
        <w:tc>
          <w:tcPr>
            <w:tcW w:type="dxa" w:w="4734"/>
            <w:tcBorders>
              <w:top w:val="single" w:sz="4" w:color="D9D9D9"/>
              <w:left w:val="single" w:sz="4" w:color="D9D9D9"/>
              <w:bottom w:val="single" w:sz="4" w:color="D9D9D9"/>
              <w:right w:val="single" w:sz="4" w:color="D9D9D9"/>
            </w:tcBorders>
            <w:shd w:fill="DDE8EF"/>
            <w:tcMar>
              <w:top w:w="75" w:type="dxa"/>
              <w:left w:w="75" w:type="dxa"/>
              <w:bottom w:w="75" w:type="dxa"/>
              <w:right w:w="75" w:type="dxa"/>
            </w:tcMar>
          </w:tcPr>
          <w:p>
            <w:pPr>
              <w:spacing w:after="60" w:before="40"/>
            </w:pPr>
            <w:r>
              <w:rPr>
                <w:rFonts w:ascii="Times New Roman" w:hAnsi="Times New Roman"/>
                <w:b/>
                <w:sz w:val="20"/>
              </w:rPr>
              <w:t>Cobertura de la entrega</w:t>
            </w:r>
          </w:p>
        </w:tc>
      </w:tr>
      <w:tr>
        <w:trPr>
          <w:cantSplit/>
        </w:trPr>
        <w:tc>
          <w:tcPr>
            <w:tcW w:type="dxa" w:w="4734"/>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60" w:before="40"/>
            </w:pPr>
            <w:r>
              <w:rPr>
                <w:rFonts w:ascii="Times New Roman" w:hAnsi="Times New Roman"/>
                <w:b w:val="0"/>
                <w:sz w:val="20"/>
              </w:rPr>
              <w:t>Propuesta PDF en inglés</w:t>
            </w:r>
          </w:p>
        </w:tc>
        <w:tc>
          <w:tcPr>
            <w:tcW w:type="dxa" w:w="4734"/>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60" w:before="40"/>
            </w:pPr>
            <w:r>
              <w:rPr>
                <w:rFonts w:ascii="Times New Roman" w:hAnsi="Times New Roman"/>
                <w:b w:val="0"/>
                <w:sz w:val="20"/>
              </w:rPr>
              <w:t>FLOODSHADOW_3Jota_Proposal_EN.pdf incluye problema, solución, tecnología, impacto esperado y plan.</w:t>
            </w:r>
          </w:p>
        </w:tc>
      </w:tr>
      <w:tr>
        <w:trPr>
          <w:cantSplit/>
        </w:trPr>
        <w:tc>
          <w:tcPr>
            <w:tcW w:type="dxa" w:w="4734"/>
            <w:tcBorders>
              <w:top w:val="single" w:sz="4" w:color="D9D9D9"/>
              <w:left w:val="single" w:sz="4" w:color="D9D9D9"/>
              <w:bottom w:val="single" w:sz="4" w:color="D9D9D9"/>
              <w:right w:val="single" w:sz="4" w:color="D9D9D9"/>
            </w:tcBorders>
            <w:shd w:fill="F4F7F9"/>
            <w:tcMar>
              <w:top w:w="75" w:type="dxa"/>
              <w:left w:w="75" w:type="dxa"/>
              <w:bottom w:w="75" w:type="dxa"/>
              <w:right w:w="75" w:type="dxa"/>
            </w:tcMar>
          </w:tcPr>
          <w:p>
            <w:pPr>
              <w:spacing w:after="60" w:before="40"/>
            </w:pPr>
            <w:r>
              <w:rPr>
                <w:rFonts w:ascii="Times New Roman" w:hAnsi="Times New Roman"/>
                <w:b w:val="0"/>
                <w:sz w:val="20"/>
              </w:rPr>
              <w:t>Video en inglés de hasta 3 minutos</w:t>
            </w:r>
          </w:p>
        </w:tc>
        <w:tc>
          <w:tcPr>
            <w:tcW w:type="dxa" w:w="4734"/>
            <w:tcBorders>
              <w:top w:val="single" w:sz="4" w:color="D9D9D9"/>
              <w:left w:val="single" w:sz="4" w:color="D9D9D9"/>
              <w:bottom w:val="single" w:sz="4" w:color="D9D9D9"/>
              <w:right w:val="single" w:sz="4" w:color="D9D9D9"/>
            </w:tcBorders>
            <w:shd w:fill="F4F7F9"/>
            <w:tcMar>
              <w:top w:w="75" w:type="dxa"/>
              <w:left w:w="75" w:type="dxa"/>
              <w:bottom w:w="75" w:type="dxa"/>
              <w:right w:w="75" w:type="dxa"/>
            </w:tcMar>
          </w:tcPr>
          <w:p>
            <w:pPr>
              <w:spacing w:after="60" w:before="40"/>
            </w:pPr>
            <w:r>
              <w:rPr>
                <w:rFonts w:ascii="Times New Roman" w:hAnsi="Times New Roman"/>
                <w:b w:val="0"/>
                <w:sz w:val="20"/>
              </w:rPr>
              <w:t>Guion incluido. El equipo debe grabar, cronometrar y entregar el archivo de video.</w:t>
            </w:r>
          </w:p>
        </w:tc>
      </w:tr>
      <w:tr>
        <w:trPr>
          <w:cantSplit/>
        </w:trPr>
        <w:tc>
          <w:tcPr>
            <w:tcW w:type="dxa" w:w="4734"/>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60" w:before="40"/>
            </w:pPr>
            <w:r>
              <w:rPr>
                <w:rFonts w:ascii="Times New Roman" w:hAnsi="Times New Roman"/>
                <w:b w:val="0"/>
                <w:sz w:val="20"/>
              </w:rPr>
              <w:t>Repositorio opcional</w:t>
            </w:r>
          </w:p>
        </w:tc>
        <w:tc>
          <w:tcPr>
            <w:tcW w:type="dxa" w:w="4734"/>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60" w:before="40"/>
            </w:pPr>
            <w:r>
              <w:rPr>
                <w:rFonts w:ascii="Times New Roman" w:hAnsi="Times New Roman"/>
                <w:b w:val="0"/>
                <w:sz w:val="20"/>
              </w:rPr>
              <w:t>Código y datos locales disponibles. No se inventó un enlace público ni se publicó el proyecto.</w:t>
            </w:r>
          </w:p>
        </w:tc>
      </w:tr>
      <w:tr>
        <w:trPr>
          <w:cantSplit/>
        </w:trPr>
        <w:tc>
          <w:tcPr>
            <w:tcW w:type="dxa" w:w="4734"/>
            <w:tcBorders>
              <w:top w:val="single" w:sz="4" w:color="D9D9D9"/>
              <w:left w:val="single" w:sz="4" w:color="D9D9D9"/>
              <w:bottom w:val="single" w:sz="4" w:color="D9D9D9"/>
              <w:right w:val="single" w:sz="4" w:color="D9D9D9"/>
            </w:tcBorders>
            <w:shd w:fill="F4F7F9"/>
            <w:tcMar>
              <w:top w:w="75" w:type="dxa"/>
              <w:left w:w="75" w:type="dxa"/>
              <w:bottom w:w="75" w:type="dxa"/>
              <w:right w:w="75" w:type="dxa"/>
            </w:tcMar>
          </w:tcPr>
          <w:p>
            <w:pPr>
              <w:spacing w:after="60" w:before="40"/>
            </w:pPr>
            <w:r>
              <w:rPr>
                <w:rFonts w:ascii="Times New Roman" w:hAnsi="Times New Roman"/>
                <w:b w:val="0"/>
                <w:sz w:val="20"/>
              </w:rPr>
              <w:t>Un desafío por equipo</w:t>
            </w:r>
          </w:p>
        </w:tc>
        <w:tc>
          <w:tcPr>
            <w:tcW w:type="dxa" w:w="4734"/>
            <w:tcBorders>
              <w:top w:val="single" w:sz="4" w:color="D9D9D9"/>
              <w:left w:val="single" w:sz="4" w:color="D9D9D9"/>
              <w:bottom w:val="single" w:sz="4" w:color="D9D9D9"/>
              <w:right w:val="single" w:sz="4" w:color="D9D9D9"/>
            </w:tcBorders>
            <w:shd w:fill="F4F7F9"/>
            <w:tcMar>
              <w:top w:w="75" w:type="dxa"/>
              <w:left w:w="75" w:type="dxa"/>
              <w:bottom w:w="75" w:type="dxa"/>
              <w:right w:w="75" w:type="dxa"/>
            </w:tcMar>
          </w:tcPr>
          <w:p>
            <w:pPr>
              <w:spacing w:after="60" w:before="40"/>
            </w:pPr>
            <w:r>
              <w:rPr>
                <w:rFonts w:ascii="Times New Roman" w:hAnsi="Times New Roman"/>
                <w:b w:val="0"/>
                <w:sz w:val="20"/>
              </w:rPr>
              <w:t>Reto Ecuador centrado en Guayaquil. Samborondón aparece como contexto separado.</w:t>
            </w:r>
          </w:p>
        </w:tc>
      </w:tr>
      <w:tr>
        <w:trPr>
          <w:cantSplit/>
        </w:trPr>
        <w:tc>
          <w:tcPr>
            <w:tcW w:type="dxa" w:w="4734"/>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60" w:before="40"/>
            </w:pPr>
            <w:r>
              <w:rPr>
                <w:rFonts w:ascii="Times New Roman" w:hAnsi="Times New Roman"/>
                <w:b w:val="0"/>
                <w:sz w:val="20"/>
              </w:rPr>
              <w:t>Herramientas y uso de IA declarados</w:t>
            </w:r>
          </w:p>
        </w:tc>
        <w:tc>
          <w:tcPr>
            <w:tcW w:type="dxa" w:w="4734"/>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60" w:before="40"/>
            </w:pPr>
            <w:r>
              <w:rPr>
                <w:rFonts w:ascii="Times New Roman" w:hAnsi="Times New Roman"/>
                <w:b w:val="0"/>
                <w:sz w:val="20"/>
              </w:rPr>
              <w:t>React, Vite, MapLibre, Python, Shapely, pyproj, pyshp, SQLite, fuentes públicas y asistencia de Codex.</w:t>
            </w:r>
          </w:p>
        </w:tc>
      </w:tr>
      <w:tr>
        <w:trPr>
          <w:cantSplit/>
        </w:trPr>
        <w:tc>
          <w:tcPr>
            <w:tcW w:type="dxa" w:w="4734"/>
            <w:tcBorders>
              <w:top w:val="single" w:sz="4" w:color="D9D9D9"/>
              <w:left w:val="single" w:sz="4" w:color="D9D9D9"/>
              <w:bottom w:val="single" w:sz="4" w:color="D9D9D9"/>
              <w:right w:val="single" w:sz="4" w:color="D9D9D9"/>
            </w:tcBorders>
            <w:shd w:fill="F4F7F9"/>
            <w:tcMar>
              <w:top w:w="75" w:type="dxa"/>
              <w:left w:w="75" w:type="dxa"/>
              <w:bottom w:w="75" w:type="dxa"/>
              <w:right w:w="75" w:type="dxa"/>
            </w:tcMar>
          </w:tcPr>
          <w:p>
            <w:pPr>
              <w:spacing w:after="60" w:before="40"/>
            </w:pPr>
            <w:r>
              <w:rPr>
                <w:rFonts w:ascii="Times New Roman" w:hAnsi="Times New Roman"/>
                <w:b w:val="0"/>
                <w:sz w:val="20"/>
              </w:rPr>
              <w:t>Archivos accesibles sin permisos especiales</w:t>
            </w:r>
          </w:p>
        </w:tc>
        <w:tc>
          <w:tcPr>
            <w:tcW w:type="dxa" w:w="4734"/>
            <w:tcBorders>
              <w:top w:val="single" w:sz="4" w:color="D9D9D9"/>
              <w:left w:val="single" w:sz="4" w:color="D9D9D9"/>
              <w:bottom w:val="single" w:sz="4" w:color="D9D9D9"/>
              <w:right w:val="single" w:sz="4" w:color="D9D9D9"/>
            </w:tcBorders>
            <w:shd w:fill="F4F7F9"/>
            <w:tcMar>
              <w:top w:w="75" w:type="dxa"/>
              <w:left w:w="75" w:type="dxa"/>
              <w:bottom w:w="75" w:type="dxa"/>
              <w:right w:w="75" w:type="dxa"/>
            </w:tcMar>
          </w:tcPr>
          <w:p>
            <w:pPr>
              <w:spacing w:after="60" w:before="40"/>
            </w:pPr>
            <w:r>
              <w:rPr>
                <w:rFonts w:ascii="Times New Roman" w:hAnsi="Times New Roman"/>
                <w:b w:val="0"/>
                <w:sz w:val="20"/>
              </w:rPr>
              <w:t>PDF local sin contraseña. Verificar accesibilidad de los enlaces que el equipo entregue.</w:t>
            </w:r>
          </w:p>
        </w:tc>
      </w:tr>
      <w:tr>
        <w:trPr>
          <w:cantSplit/>
        </w:trPr>
        <w:tc>
          <w:tcPr>
            <w:tcW w:type="dxa" w:w="4734"/>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60" w:before="40"/>
            </w:pPr>
            <w:r>
              <w:rPr>
                <w:rFonts w:ascii="Times New Roman" w:hAnsi="Times New Roman"/>
                <w:b w:val="0"/>
                <w:sz w:val="20"/>
              </w:rPr>
              <w:t>Equipo de 2 a 3 personas</w:t>
            </w:r>
          </w:p>
        </w:tc>
        <w:tc>
          <w:tcPr>
            <w:tcW w:type="dxa" w:w="4734"/>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60" w:before="40"/>
            </w:pPr>
            <w:r>
              <w:rPr>
                <w:rFonts w:ascii="Times New Roman" w:hAnsi="Times New Roman"/>
                <w:b w:val="0"/>
                <w:sz w:val="20"/>
              </w:rPr>
              <w:t>Tres autores identificados como 3Jota. La inscripción y afiliación no se verifican desde el código.</w:t>
            </w:r>
          </w:p>
        </w:tc>
      </w:tr>
    </w:tbl>
    <w:p>
      <w:pPr>
        <w:widowControl/>
      </w:pPr>
      <w:r>
        <w:rPr>
          <w:rFonts w:ascii="Times New Roman" w:hAnsi="Times New Roman"/>
          <w:b w:val="0"/>
          <w:color w:val="000000"/>
        </w:rPr>
      </w:r>
    </w:p>
    <w:p>
      <w:pPr>
        <w:widowControl/>
      </w:pPr>
      <w:r>
        <w:rPr>
          <w:rFonts w:ascii="Times New Roman" w:hAnsi="Times New Roman"/>
          <w:b w:val="0"/>
          <w:color w:val="000000"/>
        </w:rPr>
        <w:t>El documento de reglas suministrado establece entrega el lunes 26 de octubre de 2026 hasta las 21:00 UTC−5 y pitch final el martes 27 de 09:00 a 10:00, con conexión diez minutos antes. El usuario comunicó que se eliminaron las restricciones sobre trabajo previo y comienzo del historial; esta guía no las vuelve a imponer ni afirma haber verificado un comunicado actualizado del comité. Se debe usar el canal de entrega que el comité comunique.</w:t>
      </w:r>
    </w:p>
    <w:p>
      <w:pPr>
        <w:pStyle w:val="Heading1"/>
      </w:pPr>
      <w:r>
        <w:t>Ejecutar y comprobar</w:t>
      </w:r>
    </w:p>
    <w:p>
      <w:pPr>
        <w:widowControl/>
      </w:pPr>
      <w:r>
        <w:rPr>
          <w:rFonts w:ascii="Times New Roman" w:hAnsi="Times New Roman"/>
          <w:b w:val="0"/>
          <w:color w:val="000000"/>
        </w:rPr>
        <w:t>Desde la carpeta del proyecto: npm install, npm run dev y abrir http://127.0.0.1:5174/. Ejecutar npm test y npm run build. No se requieren claves API para leer los snapshots incluidos. El mapa base necesita internet y WebGL; los datos locales conservan su procedencia. Las verificaciones se guardan en ese navegador y pueden exportarse en JSON.</w:t>
      </w:r>
    </w:p>
    <w:p>
      <w:pPr>
        <w:widowControl/>
      </w:pPr>
      <w:r>
        <w:rPr>
          <w:rFonts w:ascii="Times New Roman" w:hAnsi="Times New Roman"/>
          <w:b w:val="0"/>
          <w:color w:val="000000"/>
        </w:rPr>
        <w:t>Antes de entregar: abrir el PDF final, revisar nombres y fuentes, grabar el video en inglés, medir su duración real, comprobar permisos del enlace y realizar una sola entrega por equipo. Los documentos no sustituyen la inscripción, la grabación, la validación de campo ni la aprobación del comité.</w:t>
      </w:r>
    </w:p>
    <w:p>
      <w:r>
        <w:br w:type="page"/>
      </w:r>
    </w:p>
    <w:p>
      <w:pPr>
        <w:pStyle w:val="Heading1"/>
      </w:pPr>
      <w:r>
        <w:t>IX  Referencias</w:t>
      </w:r>
    </w:p>
    <w:p>
      <w:pPr>
        <w:widowControl/>
        <w:ind w:hanging="283" w:left="283"/>
      </w:pPr>
      <w:r>
        <w:rPr>
          <w:rFonts w:ascii="Times New Roman" w:hAnsi="Times New Roman"/>
          <w:b w:val="0"/>
          <w:color w:val="000000"/>
          <w:sz w:val="16"/>
        </w:rPr>
        <w:t>[1] IEEE, “Manuscript templates for conference proceedings.” Accessed: Oct. 25, 2026. [Online]. Available: https:/​/​cai.ieee.org/​2025/​manuscript-templates-for-conference-proceedings/​</w:t>
      </w:r>
    </w:p>
    <w:p>
      <w:pPr>
        <w:widowControl/>
        <w:ind w:hanging="283" w:left="283"/>
      </w:pPr>
      <w:r>
        <w:rPr>
          <w:rFonts w:ascii="Times New Roman" w:hAnsi="Times New Roman"/>
          <w:b w:val="0"/>
          <w:color w:val="000000"/>
          <w:sz w:val="16"/>
        </w:rPr>
        <w:t>[2] Instituto Nacional de Estadística y Censos, “Marco Geoestadístico 2022,” FeatureServer layer 7. Accessed: Oct. 25, 2026. [Online]. Available: https:/​/​idgn.ecuadorencifras.gob.ec/​server/​rest/​services/​Hosted/​Marco_Geoestadistico_2022/​FeatureServer/​7</w:t>
      </w:r>
    </w:p>
    <w:p>
      <w:pPr>
        <w:widowControl/>
        <w:ind w:hanging="283" w:left="283"/>
      </w:pPr>
      <w:r>
        <w:rPr>
          <w:rFonts w:ascii="Times New Roman" w:hAnsi="Times New Roman"/>
          <w:b w:val="0"/>
          <w:color w:val="000000"/>
          <w:sz w:val="16"/>
        </w:rPr>
        <w:t>[3] Municipalidad de Guayaquil, “Sectores de nomenclatura,” Sistema de Información Local, updated Nov. 28, 2025. Accessed: Oct. 25, 2026. [Online]. Available: https:/​/​sil.guayaquil.gob.ec/​territorial/​sectores-de-nomenclatura/​</w:t>
      </w:r>
    </w:p>
    <w:p>
      <w:pPr>
        <w:widowControl/>
        <w:ind w:hanging="283" w:left="283"/>
      </w:pPr>
      <w:r>
        <w:rPr>
          <w:rFonts w:ascii="Times New Roman" w:hAnsi="Times New Roman"/>
          <w:b w:val="0"/>
          <w:color w:val="000000"/>
          <w:sz w:val="16"/>
        </w:rPr>
        <w:t>[4] Prefectura del Guayas, “Samborondón.” Accessed: Oct. 25, 2026. [Online]. Available: https:/​/​guayas.gob.ec/​cantones-2/​samborondon/​</w:t>
      </w:r>
    </w:p>
    <w:p>
      <w:pPr>
        <w:widowControl/>
        <w:ind w:hanging="283" w:left="283"/>
      </w:pPr>
      <w:r>
        <w:rPr>
          <w:rFonts w:ascii="Times New Roman" w:hAnsi="Times New Roman"/>
          <w:b w:val="0"/>
          <w:color w:val="000000"/>
          <w:sz w:val="16"/>
        </w:rPr>
        <w:t>[5] Open-Meteo, “Single Runs API,” technical documentation. Accessed: Oct. 25, 2026. [Online]. Available: https:/​/​open-meteo.com/​en/​docs/​single-runs-api</w:t>
      </w:r>
    </w:p>
    <w:p>
      <w:pPr>
        <w:widowControl/>
        <w:ind w:hanging="283" w:left="283"/>
      </w:pPr>
      <w:r>
        <w:rPr>
          <w:rFonts w:ascii="Times New Roman" w:hAnsi="Times New Roman"/>
          <w:b w:val="0"/>
          <w:color w:val="000000"/>
          <w:sz w:val="16"/>
        </w:rPr>
        <w:t>[6] FIMCM, ESPOL, “Análisis meteorológico y oceanográfico El impacto de las inusuales precipitaciones de octubre de 2026 en Guayaquil,” 2026. [Online]. Available: https:/​/​www.fimcm.espol.edu.ec/​es/​noticias/​analisis-meteorologico-y-oceanografico-el-impacto-de-las-inusuales-precipitaciones-de</w:t>
      </w:r>
    </w:p>
    <w:p>
      <w:pPr>
        <w:widowControl/>
        <w:ind w:hanging="283" w:left="283"/>
      </w:pPr>
      <w:r>
        <w:rPr>
          <w:rFonts w:ascii="Times New Roman" w:hAnsi="Times New Roman"/>
          <w:b w:val="0"/>
          <w:color w:val="000000"/>
          <w:sz w:val="16"/>
        </w:rPr>
        <w:t>[7] Ecuavisa, “68 sectores afectados por lluvias en Guayaquil,” Oct. 25, 2026. [Online]. Available: https:/​/​www.ecuavisa.com/​amp/​guayaquil/​68-sectores-afectados-lluvias-guayaquil-tormenta-electrica-20261025-0011.html</w:t>
      </w:r>
    </w:p>
    <w:p>
      <w:pPr>
        <w:widowControl/>
        <w:ind w:hanging="283" w:left="283"/>
      </w:pPr>
      <w:r>
        <w:rPr>
          <w:rFonts w:ascii="Times New Roman" w:hAnsi="Times New Roman"/>
          <w:b w:val="0"/>
          <w:color w:val="000000"/>
          <w:sz w:val="16"/>
        </w:rPr>
        <w:t>[8] “Zonas Inundables GYE,” ArcGIS FeatureServer, layer 0, effective date not supplied. Accessed: Oct. 25, 2026. [Online]. Available: https:/​/​services7.arcgis.com/​NWWHhu45fOJtCgG3/​arcgis/​rest/​services/​Zonas_Inundables_GYE/​FeatureServer/​0</w:t>
      </w:r>
    </w:p>
    <w:p>
      <w:pPr>
        <w:widowControl/>
        <w:ind w:hanging="283" w:left="283"/>
      </w:pPr>
      <w:r>
        <w:rPr>
          <w:rFonts w:ascii="Times New Roman" w:hAnsi="Times New Roman"/>
          <w:b w:val="0"/>
          <w:color w:val="000000"/>
          <w:sz w:val="16"/>
        </w:rPr>
        <w:t>[9] D. I. MacKenzie et al., “Estimating site occupancy rates when detection probabilities are less than one,” Ecology, vol. 83, no. 8, pp. 2248–2255, 2002, doi: 10.1890/​0012-9658(2002)083[2248:ESORWD]2.0.CO;2.</w:t>
      </w:r>
    </w:p>
    <w:p>
      <w:pPr>
        <w:widowControl/>
        <w:ind w:hanging="283" w:left="283"/>
      </w:pPr>
      <w:r>
        <w:rPr>
          <w:rFonts w:ascii="Times New Roman" w:hAnsi="Times New Roman"/>
          <w:b w:val="0"/>
          <w:color w:val="000000"/>
          <w:sz w:val="16"/>
        </w:rPr>
        <w:t>[10] IEEE-HKN Nu Zeta and Nu Eta, “Reglas del Hackathon Hack2Impact 2026,” competition brief supplied by the team, 2026.</w:t>
      </w:r>
    </w:p>
    <w:sectPr w:rsidR="00FC693F" w:rsidRPr="0006063C" w:rsidSect="00034616">
      <w:pgSz w:w="11906" w:h="16838"/>
      <w:pgMar w:top="1077" w:right="1219" w:bottom="1134" w:left="121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200"/>
      <w:contextualSpacing/>
    </w:pPr>
    <w:rPr>
      <w:rFonts w:cstheme="majorBidi" w:ascii="Times New Roman" w:hAnsi="Times New Roman"/>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cstheme="majorBidi"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FLOODSHADOW 3Jota</dc:title>
  <dc:subject>Hack2Impact 2026 Ecuador challenge</dc:subject>
  <dc:creator>José Luis Paladines Sánchez; John Maximiliano Carreño Robalino; Julinho Jesús Plua Mendosa</dc:creator>
  <cp:keywords/>
  <dc:description>generated by python-docx</dc:description>
  <cp:lastModifiedBy/>
  <cp:revision>1</cp:revision>
  <dcterms:created xsi:type="dcterms:W3CDTF">2013-12-23T23:15:00Z</dcterms:created>
  <dcterms:modified xsi:type="dcterms:W3CDTF">2013-12-23T23:15:00Z</dcterms:modified>
  <cp:category/>
</cp:coreProperties>
</file>