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27" w:hanging="0"/>
        <w:rPr/>
      </w:pPr>
      <w:r>
        <w:rPr/>
        <w:tab/>
      </w:r>
      <w:r>
        <w:rPr>
          <w:sz w:val="24"/>
          <w:szCs w:val="24"/>
        </w:rPr>
        <w:t>W celu wykonania ćwiczenia należy wykonać: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połączyć się ze sterownikiem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napisać program i sprawdzić jego poprawność(polecenie Validate z zakładki Target)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wgrać program do sterownika i przejść do trybu Run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załączając  odpowiednie wejścia M0001 do M0005 wykonać kolejne etapy identyfikacji obiektu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podczas  identyfikacji obiektu zarejestrować przebiegi sygnałów  w Data Monitor (sterujący ze sterownika-AQ0002 i odpowiedź z obiektu-AI0003)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na podstawie zarejestrowanych wykresów wyznaczyć modele zastępcze obiektu metodą Kupfmullera i Strejca.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wyliczyć nastawy regulatora: dla modelu Kupfmullera- metoda QDR</w:t>
      </w:r>
    </w:p>
    <w:p>
      <w:pPr>
        <w:pStyle w:val="Normal"/>
        <w:ind w:left="227" w:hanging="0"/>
        <w:rPr/>
      </w:pPr>
      <w:r>
        <w:rPr>
          <w:sz w:val="24"/>
          <w:szCs w:val="24"/>
        </w:rPr>
        <w:t xml:space="preserve">dla modelu Strejca- metodą stosowaną przez regulator </w:t>
      </w:r>
    </w:p>
    <w:p>
      <w:pPr>
        <w:pStyle w:val="Normal"/>
        <w:ind w:left="227" w:hanging="0"/>
        <w:rPr/>
      </w:pPr>
      <w:r>
        <w:rPr>
          <w:sz w:val="24"/>
          <w:szCs w:val="24"/>
        </w:rPr>
        <w:t>Sipart DR24 w trybie adaptacji( patrz instrukcja laboratoryjna „Dobór nastaw regulatora”).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wprowadzić  kolejno wyliczone nastawy( dla różnych modeli) do regulatora PID (Tunning)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ustawić tryb pracy automatycznej regulatora PID(M0010 wyłączony)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załączyć regulator (M0006 włączone)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zarejestrować przebiegi regulacji automatycznej w DataMonitor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Opis programu</w:t>
      </w:r>
    </w:p>
    <w:p>
      <w:pPr>
        <w:pStyle w:val="Normal"/>
        <w:rPr/>
      </w:pPr>
      <w:r>
        <w:rPr>
          <w:sz w:val="24"/>
          <w:szCs w:val="24"/>
        </w:rPr>
        <w:t xml:space="preserve">Należy ustawić punkt pracy regulatora( wartość zadaną).W przykładzie  jest 15000( liczba z zakresu 0 do 32000).Załączając M0001  wpisujemy wartość do rejestru R0010 który jest  wartością zadaną(SP) dla regulatora PID. </w:t>
      </w:r>
    </w:p>
    <w:p>
      <w:pPr>
        <w:pStyle w:val="Normal"/>
        <w:rPr/>
      </w:pPr>
      <w:r>
        <w:rPr>
          <w:sz w:val="24"/>
          <w:szCs w:val="24"/>
        </w:rPr>
        <w:t>W rejestrze R0020 wpisujemy wartość sygnału sterującego obiektem dla której sygnał wyjściowy z obiektu jest równy wartości zadanej. Wpisu do rejestru dokonujemy załączając  i wyłączając M0002.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60720" cy="3588385"/>
            <wp:effectExtent l="0" t="0" r="0" b="0"/>
            <wp:docPr id="1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Skok dodatni wartości sterującej obiektem dokonujemy załączając i wyłączając  M0003.Bit M0050 jest bitem pomocniczym który jest ustawiany automatycznie na”1”,na jeden cykl pracy sterownika, na zboczu narastającym M0003.Kiedy bit M0050 jest ustawiony,  w bloku ADD INT  dodawana jest wartość 3000(wielkość skoku) do wartości sterującej  obiektem w rejestrze R0020 i przesyłana do wyjścia AQ0002.</w:t>
      </w:r>
      <w:r>
        <w:rPr>
          <w:sz w:val="24"/>
          <w:szCs w:val="24"/>
        </w:rPr>
        <w:t>Dodając do DataMonitor sygnały: AQ002(sygnał sterujący obiektem) i AI0003(sygnał wyjściowy z obiektu) możemy zarejestrować odpowiedź obiektu na pobudzenie skokowe i na tej podstawie wyznaczyć modele zastępcze obiektu(Kupfmullera i Strejca).</w:t>
      </w:r>
    </w:p>
    <w:p>
      <w:pPr>
        <w:pStyle w:val="Normal"/>
        <w:rPr/>
      </w:pPr>
      <w:r>
        <w:rPr/>
        <w:t>Po zakończeniu wyznaczania odpowiedzi  obiektu na skok dodatni  należy przywrócić poprzednią wartość sygnału sterującego obiektem.  Załączając i wyłączając M0004  przesyłamy wartość z R0020 do wyjścia AQ0002.</w:t>
      </w:r>
    </w:p>
    <w:p>
      <w:pPr>
        <w:pStyle w:val="Normal"/>
        <w:rPr/>
      </w:pPr>
      <w:r>
        <w:rPr/>
        <w:drawing>
          <wp:inline distT="0" distB="0" distL="0" distR="0">
            <wp:extent cx="5760720" cy="3619500"/>
            <wp:effectExtent l="0" t="0" r="0" b="0"/>
            <wp:docPr id="2" name="Obraz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Skok ujemny sygnału sterującego wykonujemy załączając i wyłączając  bit M0005.Sygnał sterujący obiektem jest zmniejszany wartość skoku( blok SUB INT).Bit M0051 jest ustawiany automatycznie na narastającym zboczu sygnału M0005.Podobnie jak przy skoku dodatnim tak i przy ujemnym należy wyznaczyć modele Kupfmullera i Strejca i wyliczyć nastawy regulatora.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4580890"/>
            <wp:effectExtent l="0" t="0" r="0" b="0"/>
            <wp:docPr id="3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Amplituda skoku zgodnie zaleceniem f-my Siemens wynosi 10 do 15% wartości zadanej . Wynika to z powodu nieliniowości obiektów.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Regulator załączamy sygnałem M0006.Tryb pracy ręczna automatyczna wybieramy sygnałem M0010.     M0010 równy 0- praca automatyczna,M0010 równy 1- praca ręczna. Blok  ADD INT został wprowadzony żeby do sygnału z obiektu można dodawać zakłócenie( liczba 1000 którą można zmieniać trakcie pracy sterownika).Zarejestrować w Data Monitor odpowiedź układu regulacji w przypadku zakłóceń. Wyznaczyć czas po którym  sygnał wyjściowy z obiektu powraca do  wartości zadanej po  wprowadzenia zakłócenia. Ocenę przeprowadzić dla poprzednio wyliczonych modeli zastępczych i nastaw regulatora PID.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4561840"/>
            <wp:effectExtent l="0" t="0" r="0" b="0"/>
            <wp:docPr id="4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Jeżeli po wprowadzeniu zakłócenia sygnał z obiektu:</w:t>
      </w:r>
    </w:p>
    <w:p>
      <w:pPr>
        <w:pStyle w:val="Normal"/>
        <w:numPr>
          <w:ilvl w:val="0"/>
          <w:numId w:val="2"/>
        </w:numPr>
        <w:rPr/>
      </w:pPr>
      <w:r>
        <w:rPr/>
        <w:t>wolno wraca do wartości zadanej                                                                                                              -   zwiększyć kp                                                                                                                                                      -   zmniejszyć  Ti i Td.</w:t>
      </w:r>
    </w:p>
    <w:p>
      <w:pPr>
        <w:pStyle w:val="Normal"/>
        <w:numPr>
          <w:ilvl w:val="0"/>
          <w:numId w:val="2"/>
        </w:numPr>
        <w:rPr/>
      </w:pPr>
      <w:r>
        <w:rPr/>
        <w:t>Oscyluje                                                                                                                                                                    -  zmniejszyć kp                                                                                                                                                    -  zwiększyć Ti                                                                                                                                                           -  zmniejszyć Td</w:t>
      </w:r>
    </w:p>
    <w:p>
      <w:pPr>
        <w:pStyle w:val="Normal"/>
        <w:numPr>
          <w:ilvl w:val="0"/>
          <w:numId w:val="2"/>
        </w:numPr>
        <w:rPr/>
      </w:pPr>
      <w:r>
        <w:rPr/>
        <w:t>ma duże przeregulowania                                                                                                                                         -  zmniejszyć kp                                                                                                                                                           -  zwiększyć Td</w:t>
      </w:r>
    </w:p>
    <w:p>
      <w:pPr>
        <w:pStyle w:val="Normal"/>
        <w:numPr>
          <w:ilvl w:val="0"/>
          <w:numId w:val="2"/>
        </w:numPr>
        <w:rPr/>
      </w:pPr>
      <w:r>
        <w:rPr/>
        <w:t>jest niestabilny(wzrasta lub opada skokowo)                                                                                                  -  zwiększyć 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258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d199f"/>
    <w:rPr>
      <w:rFonts w:ascii="Tahoma" w:hAnsi="Tahoma" w:cs="Tahoma"/>
      <w:sz w:val="16"/>
      <w:szCs w:val="16"/>
    </w:rPr>
  </w:style>
  <w:style w:type="character" w:styleId="Znakinumeracji" w:customStyle="1">
    <w:name w:val="Znaki numeracji"/>
    <w:qFormat/>
    <w:rsid w:val="0040449f"/>
    <w:rPr/>
  </w:style>
  <w:style w:type="character" w:styleId="Znakiwypunktowania" w:customStyle="1">
    <w:name w:val="Znaki wypunktowania"/>
    <w:qFormat/>
    <w:rsid w:val="002009b1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40449f"/>
    <w:pPr>
      <w:spacing w:before="0" w:after="140"/>
    </w:pPr>
    <w:rPr/>
  </w:style>
  <w:style w:type="paragraph" w:styleId="Lista">
    <w:name w:val="List"/>
    <w:basedOn w:val="Tretekstu"/>
    <w:rsid w:val="0040449f"/>
    <w:pPr/>
    <w:rPr>
      <w:rFonts w:cs="Arial"/>
    </w:rPr>
  </w:style>
  <w:style w:type="paragraph" w:styleId="Podpis" w:customStyle="1">
    <w:name w:val="Caption"/>
    <w:basedOn w:val="Normal"/>
    <w:qFormat/>
    <w:rsid w:val="0040449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40449f"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rsid w:val="002009b1"/>
    <w:pPr/>
    <w:rPr/>
  </w:style>
  <w:style w:type="paragraph" w:styleId="Gwka" w:customStyle="1">
    <w:name w:val="Header"/>
    <w:basedOn w:val="Normal"/>
    <w:next w:val="Tretekstu"/>
    <w:qFormat/>
    <w:rsid w:val="0040449f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d19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  <w:rsid w:val="0040449f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4</Pages>
  <Words>487</Words>
  <Characters>3144</Characters>
  <CharactersWithSpaces>4737</CharactersWithSpaces>
  <Paragraphs>31</Paragraphs>
  <Company>zaim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2020-11-09T12:26:00Z</dcterms:created>
  <dc:creator>IIAIR</dc:creator>
  <dc:description/>
  <dc:language>pl-PL</dc:language>
  <cp:lastModifiedBy>IIAIR</cp:lastModifiedBy>
  <dcterms:modified xsi:type="dcterms:W3CDTF">2020-11-09T12:26:00Z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zaim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