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A9E9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1"/>
        <w:rPr>
          <w:rFonts w:ascii="Palatino Linotype" w:eastAsia="宋体" w:hAnsi="Palatino Linotype" w:cs="Segoe UI"/>
          <w:color w:val="333333"/>
          <w:kern w:val="0"/>
          <w:sz w:val="24"/>
          <w:szCs w:val="24"/>
        </w:rPr>
      </w:pPr>
      <w:r w:rsidRPr="00A23C64">
        <w:rPr>
          <w:rFonts w:ascii="Segoe UI" w:eastAsia="宋体" w:hAnsi="Segoe UI" w:cs="Segoe UI"/>
          <w:color w:val="333333"/>
          <w:kern w:val="0"/>
          <w:sz w:val="24"/>
          <w:szCs w:val="24"/>
        </w:rPr>
        <w:t>因子列表</w:t>
      </w:r>
    </w:p>
    <w:p w14:paraId="2E261986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2"/>
        <w:rPr>
          <w:rFonts w:ascii="Palatino Linotype" w:eastAsia="宋体" w:hAnsi="Palatino Linotype" w:cs="Segoe UI"/>
          <w:color w:val="333333"/>
          <w:kern w:val="0"/>
          <w:szCs w:val="21"/>
        </w:rPr>
      </w:pPr>
      <w:r w:rsidRPr="00A23C64">
        <w:rPr>
          <w:rFonts w:ascii="Palatino Linotype" w:eastAsia="宋体" w:hAnsi="Palatino Linotype" w:cs="Segoe UI"/>
          <w:color w:val="333333"/>
          <w:kern w:val="0"/>
          <w:szCs w:val="21"/>
        </w:rPr>
        <w:t>质量因子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6"/>
        <w:gridCol w:w="1416"/>
        <w:gridCol w:w="2754"/>
      </w:tblGrid>
      <w:tr w:rsidR="00A23C64" w:rsidRPr="00A23C64" w14:paraId="31D9DF56" w14:textId="77777777" w:rsidTr="00A23C6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AE074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59908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0A2FD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计算方法</w:t>
            </w:r>
          </w:p>
        </w:tc>
      </w:tr>
      <w:tr w:rsidR="00A23C64" w:rsidRPr="00A23C64" w14:paraId="51DC487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9C1B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net_profit_to_total_operate_revenue_ttm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F47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净利润与营业总收入之比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3F7F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净利润与营业总收入之比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146C467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14F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cfo_to_ev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1F46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经营活动产生的现金流量净额与企业价值之比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5DB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TTM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企业价值。其中，企业价值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司市值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货币资金</w:t>
            </w:r>
          </w:p>
        </w:tc>
      </w:tr>
      <w:tr w:rsidR="00A23C64" w:rsidRPr="00A23C64" w14:paraId="0758525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093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accounts_payable_turnover_days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8296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应付账款周转天数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A89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应付账款周转天数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= 360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应付账款周转率</w:t>
            </w:r>
          </w:p>
        </w:tc>
      </w:tr>
      <w:tr w:rsidR="00A23C64" w:rsidRPr="00A23C64" w14:paraId="682DFF04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ABC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net_profit_ratio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5C92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销售净利率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2C64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售净利率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56CE2AD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D192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net_non_operating_income_to_total_profit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A480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营业外收支利润净额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249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营业外收支利润净额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</w:tr>
      <w:tr w:rsidR="00A23C64" w:rsidRPr="00A23C64" w14:paraId="6F3DF24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86D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fixed_asset_ratio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103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固定资产比率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6C7D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固定资产比率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固定资产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工程物资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在建工程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7185A69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5FD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account_receivable_turnover_days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910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应收账款周转天数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2605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应收账款周转天数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=360/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应收账款周转率</w:t>
            </w:r>
          </w:p>
        </w:tc>
      </w:tr>
      <w:tr w:rsidR="00A23C64" w:rsidRPr="00A23C64" w14:paraId="6E7E2BD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E9C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DEGM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C871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毛利率增长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6F9E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毛利率增长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今年毛利率（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去年毛利率（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)-1</w:t>
            </w:r>
          </w:p>
        </w:tc>
      </w:tr>
      <w:tr w:rsidR="00A23C64" w:rsidRPr="00A23C64" w14:paraId="75ABE3A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4F34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sale_expense_to_operating_revenue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4F32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营业费用与营业总收入之比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363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营业费用与营业总收入之比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销售费用（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5743796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915D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operating_tax_to_operating_revenue_ratio_ttm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8D94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销售税金率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3C39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销售税金率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营业税金及附加（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6FB2D0C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566D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inventory_turnover_days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8358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存货周转天数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B597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存货周转天数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=360/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存货周转率</w:t>
            </w:r>
          </w:p>
        </w:tc>
      </w:tr>
      <w:tr w:rsidR="00A23C64" w:rsidRPr="00A23C64" w14:paraId="3ADB2D0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0AA9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OperatingCycle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B77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营业周期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7704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应收账款周转天数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存货周转天数</w:t>
            </w:r>
          </w:p>
        </w:tc>
      </w:tr>
      <w:tr w:rsidR="00A23C64" w:rsidRPr="00A23C64" w14:paraId="5CDA030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B729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bonds_payable_to_asset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6ABF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应付债券与总资产之比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2E2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应付债券与总资产之比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应付债券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18CDF8E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214B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net_operate_cash_flow_to_operate_income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21BD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经营活动产生的现金流量净额与经营活动净收益之比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2825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营业总成本（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38AFD63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68F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net_operating_cash_flow_coverage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003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净利润现金含量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8C73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归属于母公司所有者的净利润</w:t>
            </w:r>
          </w:p>
        </w:tc>
      </w:tr>
      <w:tr w:rsidR="00A23C64" w:rsidRPr="00A23C64" w14:paraId="4E625E9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9CE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quick_ratio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40D4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速动比率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1BD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速动比率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流动资产合计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)/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流动负债合计</w:t>
            </w:r>
          </w:p>
        </w:tc>
      </w:tr>
      <w:tr w:rsidR="00A23C64" w:rsidRPr="00A23C64" w14:paraId="32A1281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FCB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intangible_asset_ratio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7F8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无形资产比率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145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无形资产比率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无形资产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研发支出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商誉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6A1A875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B372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MLEV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F62E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市场杠杆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2177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市场杠杆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总市值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23C64" w:rsidRPr="00A23C64" w14:paraId="74F15AE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6280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debt_to_equity_ratio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B38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产权比率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9FE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产权比率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归属母公司所有者权益合计</w:t>
            </w:r>
          </w:p>
        </w:tc>
      </w:tr>
      <w:tr w:rsidR="00A23C64" w:rsidRPr="00A23C64" w14:paraId="1AF8A84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1EA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super_quick_ratio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5C5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超速动比率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384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（货币资金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交易性金融资产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应收票据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帐款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其他应收款）／流动负债合计</w:t>
            </w:r>
          </w:p>
        </w:tc>
      </w:tr>
      <w:tr w:rsidR="00A23C64" w:rsidRPr="00A23C64" w14:paraId="3D88400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41A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inventory_turnover_rate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03ED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存货周转率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6E83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存货周转率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存货</w:t>
            </w:r>
          </w:p>
        </w:tc>
      </w:tr>
      <w:tr w:rsidR="00A23C64" w:rsidRPr="00A23C64" w14:paraId="5E7C272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C4A0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06BA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896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营业利润增长率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今年营业利润（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去年营业利润（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)-1</w:t>
            </w:r>
          </w:p>
        </w:tc>
      </w:tr>
      <w:tr w:rsidR="00A23C64" w:rsidRPr="00A23C64" w14:paraId="54C6FA9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7DA7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long_debt_to_working_capital_ratio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D1E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长期负债与营运资金比率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1E18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长期负债与营运资金比率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流动资产合计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23C64" w:rsidRPr="00A23C64" w14:paraId="55DC235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89CB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current_ratio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103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单季度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F20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流动资产合计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流动负债合计</w:t>
            </w:r>
          </w:p>
        </w:tc>
      </w:tr>
      <w:tr w:rsidR="00A23C64" w:rsidRPr="00A23C64" w14:paraId="35FB55B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DBE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net_operate_cash_flow_to_net_debt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16E4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净债务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0795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净债务</w:t>
            </w:r>
          </w:p>
        </w:tc>
      </w:tr>
      <w:tr w:rsidR="00A23C64" w:rsidRPr="00A23C64" w14:paraId="4FE9D6D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360C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net_operate_cash_flow_to_asset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3DD2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总资产现金回收率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8D3F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)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5C75AEE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4FEC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non_current_asset_ratio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FFDD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非流动资产比率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65F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非流动资产比率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非流动资产合计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524C357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3EAC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total_asset_turnover_rate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193E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总资产周转率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E73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总资产周转率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487423B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067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long_debt_to_asset_ratio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3077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长期借款与资产总计之比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9DE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长期借款与资产总计之比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长期借款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3FCCE70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B6B0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debt_to_tangible_equity_ratio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472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有形净值债务率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68C3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有形净值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其中有形净值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无形资产净值，无形资产净值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=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商誉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无形资产</w:t>
            </w:r>
          </w:p>
        </w:tc>
      </w:tr>
      <w:tr w:rsidR="00A23C64" w:rsidRPr="00A23C64" w14:paraId="48282A8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8C0D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ROAEBITTTM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B50F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总资产报酬率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476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（利润总额（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利息支出（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总资产在过去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个月的平均</w:t>
            </w:r>
          </w:p>
        </w:tc>
      </w:tr>
      <w:tr w:rsidR="00A23C64" w:rsidRPr="00A23C64" w14:paraId="28A46EA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56D0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40DB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F087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2E166E8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704E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long_term_debt_to_asset_ratio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480F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长期负债与资产总计之比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361A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长期负债与资产总计之比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非流动负债合计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44AF21B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2A1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current_asset_turnover_rate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DD5C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流动资产周转率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0A5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个月的平均流动资产合计</w:t>
            </w:r>
          </w:p>
        </w:tc>
      </w:tr>
      <w:tr w:rsidR="00A23C64" w:rsidRPr="00A23C64" w14:paraId="73515EA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D443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financial_expense_rate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F0E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财务费用与营业总收入之比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E8F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财务费用（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2EEF861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5B1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operating_profit_to_total_profit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A2D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经营活动净收益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1CF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经营活动净收益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</w:tr>
      <w:tr w:rsidR="00A23C64" w:rsidRPr="00A23C64" w14:paraId="51CB142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860C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debt_to_asset_ratio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550C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债务总资产比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92C7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债务总资产比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4F53BD1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167A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equity_to_fixed_asset_ratio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3183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股东权益与固定资产比率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4AAA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股东权益与固定资产比率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固定资产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工程物资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在建工程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23C64" w:rsidRPr="00A23C64" w14:paraId="02E1913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992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net_operate_cash_flow_to_total_liability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1B5E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负债合计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B03E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负债合计</w:t>
            </w:r>
          </w:p>
        </w:tc>
      </w:tr>
      <w:tr w:rsidR="00A23C64" w:rsidRPr="00A23C64" w14:paraId="0258248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D55E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cash_rate_of_sales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839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经营活动产生的现金流量净额与营业收入之比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9031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27D9345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32F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operating_profit_to_operating_revenue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28C8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营业利润与营业总收入之比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6690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营业利润与营业总收入之比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7D700B0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91FC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roa_ttm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4138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资产回报率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D981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资产回报率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期末总资产</w:t>
            </w:r>
          </w:p>
        </w:tc>
      </w:tr>
      <w:tr w:rsidR="00A23C64" w:rsidRPr="00A23C64" w14:paraId="348F084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351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admin_expense_rate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28B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管理费用与营业总收入之比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FC5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管理费用与营业总收入之比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管理费用（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006B416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324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fixed_assets_turnover_rate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B085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固定资产周转率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B968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等于过去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个月的平均（固定资产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工程物资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在建工程）</w:t>
            </w:r>
          </w:p>
        </w:tc>
      </w:tr>
      <w:tr w:rsidR="00A23C64" w:rsidRPr="00A23C64" w14:paraId="24AFBDB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86C9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invest_income_associates_to_total_profit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15A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对联营和合营公司投资收益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E5DC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对联营和营公司投资收益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</w:tr>
      <w:tr w:rsidR="00A23C64" w:rsidRPr="00A23C64" w14:paraId="586369B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178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equity_to_asset_ratio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5CF3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C180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股东权益比率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68FF2A0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C484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goods_service_cash_to_operating_revenue_ttm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DDD1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销售商品提供劳务收到的现金与营业收入之比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29E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销售商品提供劳务收到的现金与营业收入之比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销售商品和提供劳务收到的现金（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39078A4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C47B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cash_to_current_liability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7933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现金比率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7821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期末现金及现金等价物余额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流动负债合计的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个月均值</w:t>
            </w:r>
          </w:p>
        </w:tc>
      </w:tr>
      <w:tr w:rsidR="00A23C64" w:rsidRPr="00A23C64" w14:paraId="3CAE154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05CF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net_operate_cash_flow_to_total_current_liability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8EA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现金流动负债比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E5A6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现金流动负债比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流动负债合计</w:t>
            </w:r>
          </w:p>
        </w:tc>
      </w:tr>
      <w:tr w:rsidR="00A23C64" w:rsidRPr="00A23C64" w14:paraId="5551162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4118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ACCA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21B3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现金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流资产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比和资产回报率之差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359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现金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流资产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资产回报率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其中现金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流资产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</w:p>
        </w:tc>
      </w:tr>
      <w:tr w:rsidR="00A23C64" w:rsidRPr="00A23C64" w14:paraId="0259976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F13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roe_ttm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597A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权益回报率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81AD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权益回报率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期末股东权益</w:t>
            </w:r>
          </w:p>
        </w:tc>
      </w:tr>
      <w:tr w:rsidR="00A23C64" w:rsidRPr="00A23C64" w14:paraId="6482EDA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E4D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accounts_payable_turnover_rate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F70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应付账款周转率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3E63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,0)/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AvgQ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应付账款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,4,0) +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AvgQ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应付票据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,4,0) +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AvgQ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预付款项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,4,0)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56724C4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B8D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gross_income_ratio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118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销售毛利率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7764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销售毛利率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715E911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6083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adjusted_profit_to_total_profit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91C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扣除非经常损益后的净利润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4B1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扣除非经常损益后的净利润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</w:t>
            </w:r>
          </w:p>
        </w:tc>
      </w:tr>
      <w:tr w:rsidR="00A23C64" w:rsidRPr="00A23C64" w14:paraId="61ADF08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1E49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account_receivable_turnover_rate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6E9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应收账款周转率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AA37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即，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,0)/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AvgQ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应收账款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,4,0) +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AvgQ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应收票据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,4,0) +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AvgQ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预收账款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,4,0)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01A1152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2971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equity_turnover_rate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BA28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股东权益周转率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6E5F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股东权益周转率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股东权益</w:t>
            </w:r>
          </w:p>
        </w:tc>
      </w:tr>
      <w:tr w:rsidR="00A23C64" w:rsidRPr="00A23C64" w14:paraId="55F1368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5BD5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total_profit_to_cost_ratio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D2DE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成本费用利润率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31C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成本费用利润率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财务费用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管理费用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，以上科目使用的都是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的数值</w:t>
            </w:r>
          </w:p>
        </w:tc>
      </w:tr>
      <w:tr w:rsidR="00A23C64" w:rsidRPr="00A23C64" w14:paraId="297F05A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5282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operating_cost_to_operating_revenue_ratio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2392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销售成本率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891D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销售成本率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</w:tbl>
    <w:p w14:paraId="09087B6A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2"/>
        <w:rPr>
          <w:rFonts w:ascii="Palatino Linotype" w:eastAsia="宋体" w:hAnsi="Palatino Linotype" w:cs="Segoe UI"/>
          <w:color w:val="333333"/>
          <w:kern w:val="0"/>
          <w:szCs w:val="21"/>
        </w:rPr>
      </w:pPr>
      <w:r w:rsidRPr="00A23C64">
        <w:rPr>
          <w:rFonts w:ascii="Palatino Linotype" w:eastAsia="宋体" w:hAnsi="Palatino Linotype" w:cs="Segoe UI"/>
          <w:color w:val="333333"/>
          <w:kern w:val="0"/>
          <w:szCs w:val="21"/>
        </w:rPr>
        <w:t>基础因子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1380"/>
        <w:gridCol w:w="3343"/>
      </w:tblGrid>
      <w:tr w:rsidR="00A23C64" w:rsidRPr="00A23C64" w14:paraId="6F791F6A" w14:textId="77777777" w:rsidTr="00A23C6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73374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1C40E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F210B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计算方法</w:t>
            </w:r>
          </w:p>
        </w:tc>
      </w:tr>
      <w:tr w:rsidR="00A23C64" w:rsidRPr="00A23C64" w14:paraId="3079FD2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0FE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net_working_capital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0E6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净运营资本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8289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－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</w:t>
            </w:r>
          </w:p>
        </w:tc>
      </w:tr>
      <w:tr w:rsidR="00A23C64" w:rsidRPr="00A23C64" w14:paraId="3FC7DEB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181E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total_operating_revenue_ttm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178B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12A1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5017193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D4B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603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F57C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27105A4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EA44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net_operate_cash_flow_ttm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1F19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22F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7312EEB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391D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operating_revenue_ttm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7BE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36F5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2C2CED8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A0D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interest_carry_current_liability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9D1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带息流动负债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769A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流动负债合计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-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无息流动负债</w:t>
            </w:r>
          </w:p>
        </w:tc>
      </w:tr>
      <w:tr w:rsidR="00A23C64" w:rsidRPr="00A23C64" w14:paraId="29CC35F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1475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sale_expense_ttm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5CC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4102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322358E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EBBA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retained_earnings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2436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留存收益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157D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盈余公积金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未分配利润</w:t>
            </w:r>
          </w:p>
        </w:tc>
      </w:tr>
      <w:tr w:rsidR="00A23C64" w:rsidRPr="00A23C64" w14:paraId="2459F26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562B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total_operating_cost_ttm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7E78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营业总成本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B28D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营业总成本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44A33E3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54BC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non_operating_net_profit_ttm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8325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营业外收支净额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0C7F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营业外收入（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-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营业外支出（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44A4A1A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CF3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net_invest_cash_flow_ttm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C578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投资活动现金流量净额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61C3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投资活动现金流量净额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3530808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38D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financial_expense_ttm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BB5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财务费用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3A7F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财务费用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64555BE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ECEC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administration_expense_ttm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F49B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管理费用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BA56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管理费用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0DB3294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36D9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net_interest_expense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FBD9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净利息费用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99E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利息支出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利息收入</w:t>
            </w:r>
          </w:p>
        </w:tc>
      </w:tr>
      <w:tr w:rsidR="00A23C64" w:rsidRPr="00A23C64" w14:paraId="6AAD233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2B51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value_change_profit_ttm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A5E0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价值变动净收益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9D4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价值变动净收益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13B7B02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D783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total_profit_ttm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5B8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348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68E235C4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CB7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net_finance_cash_flow_ttm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290E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筹资活动现金流量净额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F7F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筹资活动现金流量净额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6249A00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9B6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interest_free_current_liability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6F01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无息流动负债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68FD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应付票据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应付账款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预收账款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用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预售款项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代替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应交税费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应付利息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其他应付款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其他流动负债</w:t>
            </w:r>
          </w:p>
        </w:tc>
      </w:tr>
      <w:tr w:rsidR="00A23C64" w:rsidRPr="00A23C64" w14:paraId="1EBC2C1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DBDE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EBIT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A528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息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税前利润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E80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所得税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+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财务费用</w:t>
            </w:r>
          </w:p>
        </w:tc>
      </w:tr>
      <w:tr w:rsidR="00A23C64" w:rsidRPr="00A23C64" w14:paraId="53F3606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4586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net_profit_ttm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F5BE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57E8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6F7B6EE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5153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OperateNetIncome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BF71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经营活动净收益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2D67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经营活动净收益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(%) *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</w:t>
            </w:r>
          </w:p>
        </w:tc>
      </w:tr>
      <w:tr w:rsidR="00A23C64" w:rsidRPr="00A23C64" w14:paraId="46A1BED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403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EBITDA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DCBD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息税折旧摊销前利润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2569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营业收入－经营成本－营业税及附加</w:t>
            </w:r>
          </w:p>
        </w:tc>
      </w:tr>
      <w:tr w:rsidR="00A23C64" w:rsidRPr="00A23C64" w14:paraId="2B7A5E3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431D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asset_impairment_loss_ttm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4A0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资产减值损失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E1C8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资产减值损失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407D228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D036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np_parent_company_owners_ttm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757D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归属于母公司股东的净利润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17E0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归属于母公司股东的净利润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31872D9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3115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operating_cost_ttm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C8D6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9394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营业成本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  <w:tr w:rsidR="00A23C64" w:rsidRPr="00A23C64" w14:paraId="0E3B753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DAB3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net_debt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D316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净债务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CCB2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总债务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期末现金及现金等价物余额</w:t>
            </w:r>
          </w:p>
        </w:tc>
      </w:tr>
      <w:tr w:rsidR="00A23C64" w:rsidRPr="00A23C64" w14:paraId="7ECC27D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4A4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non_recurring_gain_loss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4FB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非经常性损益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10D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扣除非经常损益后的净利润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元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23C64" w:rsidRPr="00A23C64" w14:paraId="2A6A584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B9E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goods_sale_and_service_render_cash_ttm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689F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销售商品提供劳务收到的现金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6E27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销售商品提供劳务收到的现金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之和</w:t>
            </w:r>
          </w:p>
        </w:tc>
      </w:tr>
    </w:tbl>
    <w:p w14:paraId="4CCA6BD9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2"/>
        <w:rPr>
          <w:rFonts w:ascii="Palatino Linotype" w:eastAsia="宋体" w:hAnsi="Palatino Linotype" w:cs="Segoe UI"/>
          <w:color w:val="333333"/>
          <w:kern w:val="0"/>
          <w:szCs w:val="21"/>
        </w:rPr>
      </w:pPr>
      <w:r w:rsidRPr="00A23C64">
        <w:rPr>
          <w:rFonts w:ascii="Palatino Linotype" w:eastAsia="宋体" w:hAnsi="Palatino Linotype" w:cs="Segoe UI"/>
          <w:color w:val="333333"/>
          <w:kern w:val="0"/>
          <w:szCs w:val="21"/>
        </w:rPr>
        <w:t>情绪因子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1762"/>
        <w:gridCol w:w="4796"/>
      </w:tblGrid>
      <w:tr w:rsidR="00A23C64" w:rsidRPr="00A23C64" w14:paraId="28EDFC7A" w14:textId="77777777" w:rsidTr="00A23C6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98309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8BB7C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16920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计算方法</w:t>
            </w:r>
          </w:p>
        </w:tc>
      </w:tr>
      <w:tr w:rsidR="00A23C64" w:rsidRPr="00A23C64" w14:paraId="6FBE1B1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BA28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VROC12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7A09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日量变动速率指标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9730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成交量减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日前的成交量，再除以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日前的成交量，放大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倍，得到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VROC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n=12</w:t>
            </w:r>
          </w:p>
        </w:tc>
      </w:tr>
      <w:tr w:rsidR="00A23C64" w:rsidRPr="00A23C64" w14:paraId="7227CD1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356B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TVMA6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29E6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日成交金额的移动平均值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3628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日成交金额的移动平均值</w:t>
            </w:r>
          </w:p>
        </w:tc>
      </w:tr>
      <w:tr w:rsidR="00A23C64" w:rsidRPr="00A23C64" w14:paraId="24D356A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351A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VEMA10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0685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日指数移动平均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57A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A23C64" w:rsidRPr="00A23C64" w14:paraId="7CD93424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E19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622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成交量比率（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Volume Ratio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D963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VR=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AVS+1/2CVS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BVS+1/2CVS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3C64" w:rsidRPr="00A23C64" w14:paraId="288629B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39B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3BC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5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F150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5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日换手率的均值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单位为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A23C64" w:rsidRPr="00A23C64" w14:paraId="4685A89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6DE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BR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5277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意愿指标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D30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BR=N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日内（当日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最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高价－昨日收盘价）之和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日内（昨日收盘价－当日最低价）之和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×100 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设定为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26</w:t>
            </w:r>
          </w:p>
        </w:tc>
      </w:tr>
      <w:tr w:rsidR="00A23C64" w:rsidRPr="00A23C64" w14:paraId="739A388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516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VEMA12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A738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日成交量的移动平均值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CCF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A23C64" w:rsidRPr="00A23C64" w14:paraId="3C052E8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6BB1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TVMA20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BED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日成交金额的移动平均值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159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日成交金额的移动平均值</w:t>
            </w:r>
          </w:p>
        </w:tc>
      </w:tr>
      <w:tr w:rsidR="00A23C64" w:rsidRPr="00A23C64" w14:paraId="2D97B2B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5CCE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DAVOL5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1882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5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日平均换手率与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278F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5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</w:tr>
      <w:tr w:rsidR="00A23C64" w:rsidRPr="00A23C64" w14:paraId="153785F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FCA2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VDIFF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2D4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VMACD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因子的中间变量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23CE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EMA(VOLUME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SHORT)-EMA(VOLUME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LONG) short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long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A23C64" w:rsidRPr="00A23C64" w14:paraId="1B5D604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C48D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WVAD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2A18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威廉变异离散量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C11A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收盘价－开盘价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)/(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最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高价－最低价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)×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成交量，再做加和，使用过去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个交易日的数据</w:t>
            </w:r>
          </w:p>
        </w:tc>
      </w:tr>
      <w:tr w:rsidR="00A23C64" w:rsidRPr="00A23C64" w14:paraId="143396B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330E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MAWVAD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7CEB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WVAD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日均值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2BA5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A23C64" w:rsidRPr="00A23C64" w14:paraId="68CD969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AEA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VSTD10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E94D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日成交量标准差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0B0D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日成交量去标准差</w:t>
            </w:r>
          </w:p>
        </w:tc>
      </w:tr>
      <w:tr w:rsidR="00A23C64" w:rsidRPr="00A23C64" w14:paraId="71405F5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720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ATR14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64F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14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日均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幅指标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E79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真实振幅的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14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日移动平均</w:t>
            </w:r>
          </w:p>
        </w:tc>
      </w:tr>
      <w:tr w:rsidR="00A23C64" w:rsidRPr="00A23C64" w14:paraId="7840F04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7006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0B7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CEB7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日换手率的均值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单位为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A23C64" w:rsidRPr="00A23C64" w14:paraId="1CE53FF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F477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DAVOL10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5480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日平均换手率与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ACA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</w:tr>
      <w:tr w:rsidR="00A23C64" w:rsidRPr="00A23C64" w14:paraId="34B6471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4B04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VDEA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AF4F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计算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VMACD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因子的中间变量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5C1B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EMA(VDIFF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M) short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long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A23C64" w:rsidRPr="00A23C64" w14:paraId="1C9DE464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2894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VSTD20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85D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日成交量标准差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A49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日成交量去标准差</w:t>
            </w:r>
          </w:p>
        </w:tc>
      </w:tr>
      <w:tr w:rsidR="00A23C64" w:rsidRPr="00A23C64" w14:paraId="67E8545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FA39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ATR6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310A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日均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幅指标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816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真实振幅的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日移动平均</w:t>
            </w:r>
          </w:p>
        </w:tc>
      </w:tr>
      <w:tr w:rsidR="00A23C64" w:rsidRPr="00A23C64" w14:paraId="61E57C8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541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B37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4379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日换手率的均值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单位为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A23C64" w:rsidRPr="00A23C64" w14:paraId="7970919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6939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DAVOL20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03A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日平均换手率与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日平均换手率之比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21A8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</w:tr>
      <w:tr w:rsidR="00A23C64" w:rsidRPr="00A23C64" w14:paraId="2AD8F2B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6B4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VMACD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74C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成交量指数平滑异同移动平均线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A1AF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快的指数移动平均线（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EMA12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）减去慢的指数移动平均线（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EMA26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）得到快线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DIFF,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由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DIFF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日移动平均得到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DEA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，由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DIFF-DEA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的值得到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MACD</w:t>
            </w:r>
          </w:p>
        </w:tc>
      </w:tr>
      <w:tr w:rsidR="00A23C64" w:rsidRPr="00A23C64" w14:paraId="618FA8C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4E5F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51F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人气指标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3AE3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AR=N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日内（当日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最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高价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当日开市价）之和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日内（当日开市价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—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当日最低价）之和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* 100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设定为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26</w:t>
            </w:r>
          </w:p>
        </w:tc>
      </w:tr>
      <w:tr w:rsidR="00A23C64" w:rsidRPr="00A23C64" w14:paraId="309FA71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E5F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D80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026D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日换手率的均值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单位为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A23C64" w:rsidRPr="00A23C64" w14:paraId="376283E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A80D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turnover_volatility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7D4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换手率相对波动率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B665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取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个交易日个股换手率的标准差</w:t>
            </w:r>
          </w:p>
        </w:tc>
      </w:tr>
      <w:tr w:rsidR="00A23C64" w:rsidRPr="00A23C64" w14:paraId="74FC012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C174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4F1A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67F3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日换手率的均值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单位为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A23C64" w:rsidRPr="00A23C64" w14:paraId="274BD52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25C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VROC6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76A2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日量变动速率指标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6E1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成交量减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日前的成交量，再除以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日前的成交量，放大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倍，得到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VROC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n=6</w:t>
            </w:r>
          </w:p>
        </w:tc>
      </w:tr>
      <w:tr w:rsidR="00A23C64" w:rsidRPr="00A23C64" w14:paraId="475065A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DE60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TVSTD20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D993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日成交金额的标准差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BBF8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日成交额的标准差</w:t>
            </w:r>
          </w:p>
        </w:tc>
      </w:tr>
      <w:tr w:rsidR="00A23C64" w:rsidRPr="00A23C64" w14:paraId="164441C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7B06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ARBR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7FE6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ARBR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368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AR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与因子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BR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的差</w:t>
            </w:r>
          </w:p>
        </w:tc>
      </w:tr>
      <w:tr w:rsidR="00A23C64" w:rsidRPr="00A23C64" w14:paraId="67F69BE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032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money_flow_20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1A7D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日资金流量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BCB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用收盘价、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最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高价及最低价的均值乘以当日成交量即可得到该交易日的资金流量</w:t>
            </w:r>
          </w:p>
        </w:tc>
      </w:tr>
      <w:tr w:rsidR="00A23C64" w:rsidRPr="00A23C64" w14:paraId="1822C50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6EEC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VEMA5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486D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5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日指数移动平均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BC4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A23C64" w:rsidRPr="00A23C64" w14:paraId="7F309CE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BA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VOL240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363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240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日平均换手率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D40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240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日换手率的均值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,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单位为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A23C64" w:rsidRPr="00A23C64" w14:paraId="0C7B48E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16F1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VEMA26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9F5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日指数移动平均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0D29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A23C64" w:rsidRPr="00A23C64" w14:paraId="76D8944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07F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VOSC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4134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成交量震荡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3942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'VEMA12'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'VEMA26'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两者的差值，再求差值与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'VEMA12'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的比，最后将比值放大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100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倍，得到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VOSC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值</w:t>
            </w:r>
          </w:p>
        </w:tc>
      </w:tr>
      <w:tr w:rsidR="00A23C64" w:rsidRPr="00A23C64" w14:paraId="24EE4B0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6E3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TVSTD6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82EB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日成交金额的标准差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105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日成交额的标准差</w:t>
            </w:r>
          </w:p>
        </w:tc>
      </w:tr>
    </w:tbl>
    <w:p w14:paraId="64C10875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2"/>
        <w:rPr>
          <w:rFonts w:ascii="Palatino Linotype" w:eastAsia="宋体" w:hAnsi="Palatino Linotype" w:cs="Segoe UI"/>
          <w:color w:val="333333"/>
          <w:kern w:val="0"/>
          <w:szCs w:val="21"/>
        </w:rPr>
      </w:pPr>
      <w:r w:rsidRPr="00A23C64">
        <w:rPr>
          <w:rFonts w:ascii="Palatino Linotype" w:eastAsia="宋体" w:hAnsi="Palatino Linotype" w:cs="Segoe UI"/>
          <w:color w:val="333333"/>
          <w:kern w:val="0"/>
          <w:szCs w:val="21"/>
        </w:rPr>
        <w:t>成长因子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8"/>
        <w:gridCol w:w="1344"/>
        <w:gridCol w:w="3324"/>
      </w:tblGrid>
      <w:tr w:rsidR="00A23C64" w:rsidRPr="00A23C64" w14:paraId="26C98546" w14:textId="77777777" w:rsidTr="00A23C6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6E643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6970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DC984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计算方法</w:t>
            </w:r>
          </w:p>
        </w:tc>
      </w:tr>
      <w:tr w:rsidR="00A23C64" w:rsidRPr="00A23C64" w14:paraId="640D791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A6D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operating_revenue_growth_rate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F933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EC02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营业收入增长率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（今年营业收入（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-1</w:t>
            </w:r>
          </w:p>
        </w:tc>
      </w:tr>
      <w:tr w:rsidR="00A23C64" w:rsidRPr="00A23C64" w14:paraId="115FC0B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B761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total_asset_growth_rate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518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ADF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总资产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_4 -1</w:t>
            </w:r>
          </w:p>
        </w:tc>
      </w:tr>
      <w:tr w:rsidR="00A23C64" w:rsidRPr="00A23C64" w14:paraId="1195D83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1990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net_operate_cashflow_growth_rate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8C3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经营活动产生的现金流量净额增长率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F32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今年经营活动产生的现金流量净额（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去年经营活动产生的现金流量净额（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)-1</w:t>
            </w:r>
          </w:p>
        </w:tc>
      </w:tr>
      <w:tr w:rsidR="00A23C64" w:rsidRPr="00A23C64" w14:paraId="5E0D9791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4B22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total_profit_growth_rate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C1B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EF4A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利润总额增长率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今年利润总额（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去年利润总额（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)-1</w:t>
            </w:r>
          </w:p>
        </w:tc>
      </w:tr>
      <w:tr w:rsidR="00A23C64" w:rsidRPr="00A23C64" w14:paraId="7F8D266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862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np_parent_company_owners_growth_rate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059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归属母公司股东的净利润增长率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7A8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今年归属于母公司所有者的净利润（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去年归属于母公司所有者的净利润（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)-1</w:t>
            </w:r>
          </w:p>
        </w:tc>
      </w:tr>
      <w:tr w:rsidR="00A23C64" w:rsidRPr="00A23C64" w14:paraId="3D5377E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786E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financing_cash_growth_rate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100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筹资活动产生的现金流量净额增长率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BAA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个月的筹资现金流量净额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/ 4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季度前的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个月的筹资现金流量净额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- 1</w:t>
            </w:r>
          </w:p>
        </w:tc>
      </w:tr>
      <w:tr w:rsidR="00A23C64" w:rsidRPr="00A23C64" w14:paraId="6303AB6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BAD9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net_profit_growth_rate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F371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96B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净利润增长率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=(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今年净利润（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去年净利润（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)-1</w:t>
            </w:r>
          </w:p>
        </w:tc>
      </w:tr>
      <w:tr w:rsidR="00A23C64" w:rsidRPr="00A23C64" w14:paraId="4F7619A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409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net_asset_growth_rate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E21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净资产增长率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7528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（当季的股东权益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/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三季度前的股东权益）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-1</w:t>
            </w:r>
          </w:p>
        </w:tc>
      </w:tr>
    </w:tbl>
    <w:p w14:paraId="00C1F063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2"/>
        <w:rPr>
          <w:rFonts w:ascii="Palatino Linotype" w:eastAsia="宋体" w:hAnsi="Palatino Linotype" w:cs="Segoe UI"/>
          <w:color w:val="333333"/>
          <w:kern w:val="0"/>
          <w:szCs w:val="21"/>
        </w:rPr>
      </w:pPr>
      <w:r w:rsidRPr="00A23C64">
        <w:rPr>
          <w:rFonts w:ascii="Palatino Linotype" w:eastAsia="宋体" w:hAnsi="Palatino Linotype" w:cs="Segoe UI"/>
          <w:color w:val="333333"/>
          <w:kern w:val="0"/>
          <w:szCs w:val="21"/>
        </w:rPr>
        <w:t>风险因子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1202"/>
        <w:gridCol w:w="5506"/>
      </w:tblGrid>
      <w:tr w:rsidR="00A23C64" w:rsidRPr="00A23C64" w14:paraId="17AB6712" w14:textId="77777777" w:rsidTr="00A23C6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2FB09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96C4F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0FD00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计算方法</w:t>
            </w:r>
          </w:p>
        </w:tc>
      </w:tr>
      <w:tr w:rsidR="00A23C64" w:rsidRPr="00A23C64" w14:paraId="43FC179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DD39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Variance20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13B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日收益方差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3AD4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日收益方差</w:t>
            </w:r>
          </w:p>
        </w:tc>
      </w:tr>
      <w:tr w:rsidR="00A23C64" w:rsidRPr="00A23C64" w14:paraId="4177861F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1298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Skewness20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2488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日偏度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36E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日偏度</w:t>
            </w:r>
          </w:p>
        </w:tc>
      </w:tr>
      <w:tr w:rsidR="00A23C64" w:rsidRPr="00A23C64" w14:paraId="0AF261B8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1D1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Kurtosis20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EBC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日峰度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A3B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日峰度</w:t>
            </w:r>
          </w:p>
        </w:tc>
      </w:tr>
      <w:tr w:rsidR="00A23C64" w:rsidRPr="00A23C64" w14:paraId="0BB9590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8DF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sharpe_ratio_20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E01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日夏普比率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EEB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Rf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/Sigma p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其中，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是个股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的年化收益率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Rf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是无风险利率（在这里设置为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0.04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Sigma p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是个股的收益波动率（标准差）</w:t>
            </w:r>
          </w:p>
        </w:tc>
      </w:tr>
      <w:tr w:rsidR="00A23C64" w:rsidRPr="00A23C64" w14:paraId="0CEA2C3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F90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Variance60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DCA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日收益方差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2112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日收益方差</w:t>
            </w:r>
          </w:p>
        </w:tc>
      </w:tr>
      <w:tr w:rsidR="00A23C64" w:rsidRPr="00A23C64" w14:paraId="11695F5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024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Skewness60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78F3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日偏度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5C5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日偏度</w:t>
            </w:r>
          </w:p>
        </w:tc>
      </w:tr>
      <w:tr w:rsidR="00A23C64" w:rsidRPr="00A23C64" w14:paraId="0AB7630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AFEA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Kurtosis60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8C83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日峰度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543D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日峰度</w:t>
            </w:r>
          </w:p>
        </w:tc>
      </w:tr>
      <w:tr w:rsidR="00A23C64" w:rsidRPr="00A23C64" w14:paraId="75182669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A1B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sharpe_ratio_60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1969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60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日夏普比率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C4FA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Rf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/Sigma p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其中，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是个股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的年化收益率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Rf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是无风险利率（在这里设置为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0.04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Sigma p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是个股的收益波动率（标准差）</w:t>
            </w:r>
          </w:p>
        </w:tc>
      </w:tr>
      <w:tr w:rsidR="00A23C64" w:rsidRPr="00A23C64" w14:paraId="3CC7DAA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6704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Variance120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DF71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日收益方差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CFA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日收益方差</w:t>
            </w:r>
          </w:p>
        </w:tc>
      </w:tr>
      <w:tr w:rsidR="00A23C64" w:rsidRPr="00A23C64" w14:paraId="0AF0ACA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C9C2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Skewness120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F495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日偏度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CE81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日偏度</w:t>
            </w:r>
          </w:p>
        </w:tc>
      </w:tr>
      <w:tr w:rsidR="00A23C64" w:rsidRPr="00A23C64" w14:paraId="1DBBFC0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B29C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Kurtosis120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D8A5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日峰度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BC9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个股收益的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日峰度</w:t>
            </w:r>
          </w:p>
        </w:tc>
      </w:tr>
      <w:tr w:rsidR="00A23C64" w:rsidRPr="00A23C64" w14:paraId="25A4A523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012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sharpe_ratio_120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98EB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120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日夏普比率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B50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（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Rf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 xml:space="preserve">/Sigma p 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其中，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是个股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的年化收益率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Rf</w:t>
            </w:r>
            <w:proofErr w:type="spell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是无风险利率（在这里设置为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0.04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），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Sigma p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是个股的收益波动率（标准差）</w:t>
            </w:r>
          </w:p>
        </w:tc>
      </w:tr>
    </w:tbl>
    <w:p w14:paraId="385FF027" w14:textId="77777777" w:rsidR="00A23C64" w:rsidRPr="00A23C64" w:rsidRDefault="00A23C64" w:rsidP="00A23C64">
      <w:pPr>
        <w:widowControl/>
        <w:shd w:val="clear" w:color="auto" w:fill="FFFFFF"/>
        <w:spacing w:before="360" w:after="360"/>
        <w:jc w:val="left"/>
        <w:outlineLvl w:val="2"/>
        <w:rPr>
          <w:rFonts w:ascii="Palatino Linotype" w:eastAsia="宋体" w:hAnsi="Palatino Linotype" w:cs="Segoe UI"/>
          <w:color w:val="333333"/>
          <w:kern w:val="0"/>
          <w:szCs w:val="21"/>
        </w:rPr>
      </w:pPr>
      <w:r w:rsidRPr="00A23C64">
        <w:rPr>
          <w:rFonts w:ascii="Palatino Linotype" w:eastAsia="宋体" w:hAnsi="Palatino Linotype" w:cs="Segoe UI"/>
          <w:color w:val="333333"/>
          <w:kern w:val="0"/>
          <w:szCs w:val="21"/>
        </w:rPr>
        <w:t>每股因子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3"/>
        <w:gridCol w:w="2336"/>
        <w:gridCol w:w="2537"/>
      </w:tblGrid>
      <w:tr w:rsidR="00A23C64" w:rsidRPr="00A23C64" w14:paraId="4C570B8A" w14:textId="77777777" w:rsidTr="00A23C64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8CEA1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</w:t>
            </w: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FDAA6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因子名称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8026A3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b/>
                <w:bCs/>
                <w:color w:val="333333"/>
                <w:kern w:val="0"/>
                <w:sz w:val="18"/>
                <w:szCs w:val="18"/>
              </w:rPr>
              <w:t>计算方法</w:t>
            </w:r>
          </w:p>
        </w:tc>
      </w:tr>
      <w:tr w:rsidR="00A23C64" w:rsidRPr="00A23C64" w14:paraId="2BDA4944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27C2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total_operating_revenue_per_share_ttm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2E2C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每股营业总收入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CB1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营业总收入（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）除以总股本</w:t>
            </w:r>
          </w:p>
        </w:tc>
      </w:tr>
      <w:tr w:rsidR="00A23C64" w:rsidRPr="00A23C64" w14:paraId="586091A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989D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lastRenderedPageBreak/>
              <w:t>cash_and_equivalents_per_share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A22F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每股现金及现金等价物余额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D707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每股现金及现金等价物余额</w:t>
            </w:r>
          </w:p>
        </w:tc>
      </w:tr>
      <w:tr w:rsidR="00A23C64" w:rsidRPr="00A23C64" w14:paraId="229A088B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04FE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surplus_reserve_fund_per_share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B03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每股盈余公积金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29FD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每股盈余公积金</w:t>
            </w:r>
          </w:p>
        </w:tc>
      </w:tr>
      <w:tr w:rsidR="00A23C64" w:rsidRPr="00A23C64" w14:paraId="51B27FA6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67A6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retained_profit_per_share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2032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每股未分配利润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FCB2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每股未分配利润</w:t>
            </w:r>
          </w:p>
        </w:tc>
      </w:tr>
      <w:tr w:rsidR="00A23C64" w:rsidRPr="00A23C64" w14:paraId="0D48182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D84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operating_revenue_per_share_ttm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0CE8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每股营业收入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F9D0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营业收入（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）除以总股本</w:t>
            </w:r>
          </w:p>
        </w:tc>
      </w:tr>
      <w:tr w:rsidR="00A23C64" w:rsidRPr="00A23C64" w14:paraId="4C68D470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0DEC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net_asset_per_share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9DF5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每股净资产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E6D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归属母公司所有者权益合计除以总股本</w:t>
            </w:r>
          </w:p>
        </w:tc>
      </w:tr>
      <w:tr w:rsidR="00A23C64" w:rsidRPr="00A23C64" w14:paraId="56C03305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AB7D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total_operating_revenue_per_share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B5CD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每股营业总收入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84B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每股营业总收入</w:t>
            </w:r>
          </w:p>
        </w:tc>
      </w:tr>
      <w:tr w:rsidR="00A23C64" w:rsidRPr="00A23C64" w14:paraId="59FFA2FE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233E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retained_earnings_per_share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E5D78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每股留存收益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486AF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每股留存收益</w:t>
            </w:r>
          </w:p>
        </w:tc>
      </w:tr>
      <w:tr w:rsidR="00A23C64" w:rsidRPr="00A23C64" w14:paraId="501D4C6D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CC5B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operating_revenue_per_share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8BB7E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每股营业收入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DA05A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每股营业收入</w:t>
            </w:r>
          </w:p>
        </w:tc>
      </w:tr>
      <w:tr w:rsidR="00A23C64" w:rsidRPr="00A23C64" w14:paraId="439A662C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9C02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net_operate_cash_flow_per_share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C4CE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每股经营活动产生的现金流量净额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825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每股经营活动产生的现金流量净额</w:t>
            </w:r>
          </w:p>
        </w:tc>
      </w:tr>
      <w:tr w:rsidR="00A23C64" w:rsidRPr="00A23C64" w14:paraId="7D466E5A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E6C6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operating_profit_per_share_ttm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214D1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每股营业利润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8EDB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营业利润（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）除以总股本</w:t>
            </w:r>
          </w:p>
        </w:tc>
      </w:tr>
      <w:tr w:rsidR="00A23C64" w:rsidRPr="00A23C64" w14:paraId="154B3C7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46A3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eps_ttm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B424D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每股收益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760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过去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12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个月归属母公司所有者的净利润（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）除以总股本</w:t>
            </w:r>
          </w:p>
        </w:tc>
      </w:tr>
      <w:tr w:rsidR="00A23C64" w:rsidRPr="00A23C64" w14:paraId="74BD1057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B5FE0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cashflow_per_share_ttm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9C229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每股现金流量净额，根据当时日期来获取最近</w:t>
            </w:r>
            <w:proofErr w:type="gram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变更日</w:t>
            </w:r>
            <w:proofErr w:type="gramEnd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的总股本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51B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现金流量净额（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TTM</w:t>
            </w: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）除以总股本</w:t>
            </w:r>
          </w:p>
        </w:tc>
      </w:tr>
      <w:tr w:rsidR="00A23C64" w:rsidRPr="00A23C64" w14:paraId="62089964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8BFC4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operating_profit_per_share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16CD6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每股营业利润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9352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每股营业利润</w:t>
            </w:r>
          </w:p>
        </w:tc>
      </w:tr>
      <w:tr w:rsidR="00A23C64" w:rsidRPr="00A23C64" w14:paraId="5D3D33E2" w14:textId="77777777" w:rsidTr="00A23C6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18012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capital_reserve_fund_per_share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B1E37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每股资本公积金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D835" w14:textId="77777777" w:rsidR="00A23C64" w:rsidRPr="00A23C64" w:rsidRDefault="00A23C64" w:rsidP="00A23C64">
            <w:pPr>
              <w:widowControl/>
              <w:spacing w:line="300" w:lineRule="atLeast"/>
              <w:jc w:val="left"/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</w:pPr>
            <w:r w:rsidRPr="00A23C64">
              <w:rPr>
                <w:rFonts w:ascii="Palatino Linotype" w:eastAsia="宋体" w:hAnsi="Palatino Linotype" w:cs="Segoe UI"/>
                <w:color w:val="333333"/>
                <w:kern w:val="0"/>
                <w:sz w:val="18"/>
                <w:szCs w:val="18"/>
              </w:rPr>
              <w:t>每股资本公积金</w:t>
            </w:r>
          </w:p>
        </w:tc>
      </w:tr>
    </w:tbl>
    <w:p w14:paraId="123167B5" w14:textId="77777777" w:rsidR="00893323" w:rsidRDefault="00A23C64">
      <w:bookmarkStart w:id="0" w:name="_GoBack"/>
      <w:bookmarkEnd w:id="0"/>
    </w:p>
    <w:sectPr w:rsidR="0089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90"/>
    <w:rsid w:val="00647F90"/>
    <w:rsid w:val="00772955"/>
    <w:rsid w:val="00A23C64"/>
    <w:rsid w:val="00B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79EC-231B-4195-8224-9587575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3C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3C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3C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3C6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2018-08-17T14:52:00Z</dcterms:created>
  <dcterms:modified xsi:type="dcterms:W3CDTF">2018-08-17T14:54:00Z</dcterms:modified>
</cp:coreProperties>
</file>