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133" w:rsidRDefault="00CB0133" w:rsidP="00323049">
      <w:pPr>
        <w:rPr>
          <w:rFonts w:ascii="宋体" w:eastAsia="宋体" w:hAnsi="宋体"/>
        </w:rPr>
      </w:pPr>
    </w:p>
    <w:p w:rsidR="00CB0133" w:rsidRDefault="00CB0133" w:rsidP="00323049">
      <w:pPr>
        <w:rPr>
          <w:rFonts w:ascii="宋体" w:eastAsia="宋体" w:hAnsi="宋体"/>
        </w:rPr>
      </w:pPr>
    </w:p>
    <w:p w:rsidR="00CB0133" w:rsidRDefault="00CB0133" w:rsidP="00323049">
      <w:pPr>
        <w:rPr>
          <w:rFonts w:ascii="宋体" w:eastAsia="宋体" w:hAnsi="宋体"/>
        </w:rPr>
      </w:pPr>
    </w:p>
    <w:p w:rsidR="00CB0133" w:rsidRDefault="00CB0133" w:rsidP="00323049">
      <w:pPr>
        <w:rPr>
          <w:rFonts w:ascii="宋体" w:eastAsia="宋体" w:hAnsi="宋体"/>
        </w:rPr>
      </w:pPr>
    </w:p>
    <w:p w:rsidR="00323049" w:rsidRPr="00323049" w:rsidRDefault="00323049" w:rsidP="0032304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23049">
        <w:rPr>
          <w:rFonts w:ascii="宋体" w:eastAsia="宋体" w:hAnsi="宋体" w:hint="eastAsia"/>
        </w:rPr>
        <w:t>本文目的</w:t>
      </w:r>
    </w:p>
    <w:p w:rsidR="00323049" w:rsidRPr="00323049" w:rsidRDefault="00323049" w:rsidP="00323049">
      <w:pPr>
        <w:ind w:firstLine="420"/>
        <w:rPr>
          <w:rFonts w:ascii="宋体" w:eastAsia="宋体" w:hAnsi="宋体"/>
        </w:rPr>
      </w:pPr>
      <w:r w:rsidRPr="00323049">
        <w:rPr>
          <w:rFonts w:ascii="宋体" w:eastAsia="宋体" w:hAnsi="宋体" w:hint="eastAsia"/>
        </w:rPr>
        <w:t>本文旨在使用中国上海证券交易所的数据，检验</w:t>
      </w:r>
      <w:proofErr w:type="spellStart"/>
      <w:r w:rsidRPr="00DF00A1">
        <w:rPr>
          <w:rFonts w:ascii="Times New Roman" w:eastAsia="宋体" w:hAnsi="Times New Roman" w:cs="Times New Roman"/>
        </w:rPr>
        <w:t>Fama</w:t>
      </w:r>
      <w:proofErr w:type="spellEnd"/>
      <w:r w:rsidRPr="00DF00A1">
        <w:rPr>
          <w:rFonts w:ascii="Times New Roman" w:eastAsia="宋体" w:hAnsi="Times New Roman" w:cs="Times New Roman"/>
        </w:rPr>
        <w:t>-French</w:t>
      </w:r>
      <w:r w:rsidRPr="00323049">
        <w:rPr>
          <w:rFonts w:ascii="宋体" w:eastAsia="宋体" w:hAnsi="宋体" w:hint="eastAsia"/>
        </w:rPr>
        <w:t>的三因子模型有效性水平。</w:t>
      </w:r>
      <w:r>
        <w:rPr>
          <w:rFonts w:ascii="宋体" w:eastAsia="宋体" w:hAnsi="宋体" w:hint="eastAsia"/>
        </w:rPr>
        <w:t>本文所选取的数据处理方法，第一部分皆尽量复刻</w:t>
      </w:r>
      <w:proofErr w:type="spellStart"/>
      <w:r w:rsidRPr="00DF00A1">
        <w:rPr>
          <w:rFonts w:ascii="Times New Roman" w:eastAsia="宋体" w:hAnsi="Times New Roman" w:cs="Times New Roman"/>
        </w:rPr>
        <w:t>Fama</w:t>
      </w:r>
      <w:proofErr w:type="spellEnd"/>
      <w:r w:rsidR="00DF00A1">
        <w:rPr>
          <w:rFonts w:ascii="Times New Roman" w:eastAsia="宋体" w:hAnsi="Times New Roman" w:cs="Times New Roman" w:hint="eastAsia"/>
        </w:rPr>
        <w:t>(</w:t>
      </w:r>
      <w:r w:rsidRPr="00DF00A1">
        <w:rPr>
          <w:rFonts w:ascii="Times New Roman" w:eastAsia="宋体" w:hAnsi="Times New Roman" w:cs="Times New Roman"/>
        </w:rPr>
        <w:t>1996</w:t>
      </w:r>
      <w:r w:rsidR="00DF00A1">
        <w:rPr>
          <w:rFonts w:ascii="Times New Roman" w:eastAsia="宋体" w:hAnsi="Times New Roman" w:cs="Times New Roman"/>
        </w:rPr>
        <w:t>)</w:t>
      </w:r>
      <w:r>
        <w:rPr>
          <w:rFonts w:ascii="宋体" w:eastAsia="宋体" w:hAnsi="宋体" w:hint="eastAsia"/>
        </w:rPr>
        <w:t>中对于美股市场检验的方法。第二部分，则增加了一些作者本人的修改，以更好的验证三因子模型在中国上证股票中的有效性水平。</w:t>
      </w:r>
    </w:p>
    <w:p w:rsidR="00323049" w:rsidRDefault="00323049" w:rsidP="00323049">
      <w:pPr>
        <w:rPr>
          <w:rFonts w:ascii="宋体" w:eastAsia="宋体" w:hAnsi="宋体"/>
        </w:rPr>
      </w:pPr>
    </w:p>
    <w:p w:rsidR="00893323" w:rsidRPr="00323049" w:rsidRDefault="00237041" w:rsidP="0032304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323049">
        <w:rPr>
          <w:rFonts w:ascii="宋体" w:eastAsia="宋体" w:hAnsi="宋体" w:hint="eastAsia"/>
        </w:rPr>
        <w:t>数据选取和处理方法</w:t>
      </w:r>
    </w:p>
    <w:p w:rsidR="00323049" w:rsidRPr="00323049" w:rsidRDefault="00323049" w:rsidP="00323049">
      <w:pPr>
        <w:rPr>
          <w:rFonts w:ascii="宋体" w:eastAsia="宋体" w:hAnsi="宋体"/>
        </w:rPr>
      </w:pPr>
    </w:p>
    <w:p w:rsidR="00AB0D78" w:rsidRPr="00A474E7" w:rsidRDefault="00F428FF" w:rsidP="00F428FF">
      <w:pPr>
        <w:ind w:firstLine="420"/>
        <w:rPr>
          <w:rFonts w:ascii="宋体" w:eastAsia="宋体" w:hAnsi="宋体"/>
        </w:rPr>
      </w:pPr>
      <w:r w:rsidRPr="00A474E7">
        <w:rPr>
          <w:rFonts w:ascii="宋体" w:eastAsia="宋体" w:hAnsi="宋体" w:hint="eastAsia"/>
        </w:rPr>
        <w:t>考虑到</w:t>
      </w:r>
      <w:r w:rsidRPr="00A474E7">
        <w:rPr>
          <w:rFonts w:ascii="Times New Roman" w:eastAsia="宋体" w:hAnsi="Times New Roman" w:cs="Times New Roman"/>
        </w:rPr>
        <w:t>2000</w:t>
      </w:r>
      <w:r w:rsidRPr="00A474E7">
        <w:rPr>
          <w:rFonts w:ascii="宋体" w:eastAsia="宋体" w:hAnsi="宋体" w:hint="eastAsia"/>
        </w:rPr>
        <w:t>年前中国股市市场还过于不完善，</w:t>
      </w:r>
      <w:r w:rsidRPr="00A474E7">
        <w:rPr>
          <w:rFonts w:ascii="Times New Roman" w:eastAsia="宋体" w:hAnsi="Times New Roman" w:cs="Times New Roman"/>
        </w:rPr>
        <w:t>17</w:t>
      </w:r>
      <w:r w:rsidRPr="00A474E7">
        <w:rPr>
          <w:rFonts w:ascii="宋体" w:eastAsia="宋体" w:hAnsi="宋体" w:hint="eastAsia"/>
        </w:rPr>
        <w:t>年开始掀起了一阵“价值股”的行情</w:t>
      </w:r>
      <w:r w:rsidR="00CA1224">
        <w:rPr>
          <w:rFonts w:ascii="宋体" w:eastAsia="宋体" w:hAnsi="宋体" w:hint="eastAsia"/>
        </w:rPr>
        <w:t>的“特殊时期数据”</w:t>
      </w:r>
      <w:r w:rsidRPr="00A474E7">
        <w:rPr>
          <w:rFonts w:ascii="宋体" w:eastAsia="宋体" w:hAnsi="宋体" w:hint="eastAsia"/>
        </w:rPr>
        <w:t>。因此，</w:t>
      </w:r>
      <w:r w:rsidR="00AB0D78" w:rsidRPr="00A474E7">
        <w:rPr>
          <w:rFonts w:ascii="宋体" w:eastAsia="宋体" w:hAnsi="宋体" w:hint="eastAsia"/>
        </w:rPr>
        <w:t>本文</w:t>
      </w:r>
      <w:r w:rsidRPr="00A474E7">
        <w:rPr>
          <w:rFonts w:ascii="宋体" w:eastAsia="宋体" w:hAnsi="宋体" w:hint="eastAsia"/>
        </w:rPr>
        <w:t>先选择</w:t>
      </w:r>
      <w:r w:rsidR="00AB0D78" w:rsidRPr="00A474E7">
        <w:rPr>
          <w:rFonts w:ascii="宋体" w:eastAsia="宋体" w:hAnsi="宋体" w:hint="eastAsia"/>
        </w:rPr>
        <w:t>检验了</w:t>
      </w:r>
      <w:r w:rsidR="00AB0D78" w:rsidRPr="00A474E7">
        <w:rPr>
          <w:rFonts w:ascii="Times New Roman" w:eastAsia="宋体" w:hAnsi="Times New Roman" w:cs="Times New Roman"/>
        </w:rPr>
        <w:t>2000-2016</w:t>
      </w:r>
      <w:r w:rsidR="00AB0D78" w:rsidRPr="00A474E7">
        <w:rPr>
          <w:rFonts w:ascii="宋体" w:eastAsia="宋体" w:hAnsi="宋体" w:hint="eastAsia"/>
        </w:rPr>
        <w:t>年上海证券交易所交易的股市</w:t>
      </w:r>
      <w:r w:rsidRPr="00A474E7">
        <w:rPr>
          <w:rFonts w:ascii="宋体" w:eastAsia="宋体" w:hAnsi="宋体" w:hint="eastAsia"/>
        </w:rPr>
        <w:t>月度</w:t>
      </w:r>
      <w:r w:rsidR="00AB0D78" w:rsidRPr="00A474E7">
        <w:rPr>
          <w:rFonts w:ascii="宋体" w:eastAsia="宋体" w:hAnsi="宋体" w:hint="eastAsia"/>
        </w:rPr>
        <w:t>数据</w:t>
      </w:r>
      <w:r w:rsidRPr="00A474E7">
        <w:rPr>
          <w:rFonts w:ascii="宋体" w:eastAsia="宋体" w:hAnsi="宋体" w:hint="eastAsia"/>
        </w:rPr>
        <w:t>进行处理</w:t>
      </w:r>
      <w:r w:rsidR="00AB0D78" w:rsidRPr="00A474E7">
        <w:rPr>
          <w:rFonts w:ascii="宋体" w:eastAsia="宋体" w:hAnsi="宋体" w:hint="eastAsia"/>
        </w:rPr>
        <w:t>。</w:t>
      </w:r>
      <w:r w:rsidRPr="00A474E7">
        <w:rPr>
          <w:rFonts w:ascii="宋体" w:eastAsia="宋体" w:hAnsi="宋体" w:hint="eastAsia"/>
        </w:rPr>
        <w:t>数据来自于</w:t>
      </w:r>
      <w:r w:rsidRPr="00A474E7">
        <w:rPr>
          <w:rFonts w:ascii="Times New Roman" w:eastAsia="宋体" w:hAnsi="Times New Roman" w:cs="Times New Roman"/>
        </w:rPr>
        <w:t>CSMAR</w:t>
      </w:r>
      <w:r w:rsidRPr="00A474E7">
        <w:rPr>
          <w:rFonts w:ascii="宋体" w:eastAsia="宋体" w:hAnsi="宋体" w:hint="eastAsia"/>
        </w:rPr>
        <w:t>数据库。</w:t>
      </w:r>
    </w:p>
    <w:p w:rsidR="00AB0D78" w:rsidRDefault="00F14327" w:rsidP="0023704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本文中所选取的市场收益率</w:t>
      </w:r>
      <w:r w:rsidR="005F758C">
        <w:rPr>
          <w:rFonts w:ascii="宋体" w:eastAsia="宋体" w:hAnsi="宋体" w:hint="eastAsia"/>
        </w:rPr>
        <w:t>来源于</w:t>
      </w:r>
      <w:r w:rsidRPr="00572590">
        <w:rPr>
          <w:rFonts w:ascii="Times New Roman" w:eastAsia="宋体" w:hAnsi="Times New Roman" w:cs="Times New Roman"/>
        </w:rPr>
        <w:t>CSMAR</w:t>
      </w:r>
      <w:r>
        <w:rPr>
          <w:rFonts w:ascii="宋体" w:eastAsia="宋体" w:hAnsi="宋体" w:hint="eastAsia"/>
        </w:rPr>
        <w:t>所公布的市场月度收益率数据。</w:t>
      </w:r>
      <w:r w:rsidR="00323049">
        <w:rPr>
          <w:rFonts w:ascii="宋体" w:eastAsia="宋体" w:hAnsi="宋体" w:hint="eastAsia"/>
        </w:rPr>
        <w:t>在</w:t>
      </w:r>
      <w:proofErr w:type="spellStart"/>
      <w:r w:rsidR="00323049" w:rsidRPr="008C6F4F">
        <w:rPr>
          <w:rFonts w:ascii="Times New Roman" w:eastAsia="宋体" w:hAnsi="Times New Roman" w:cs="Times New Roman"/>
        </w:rPr>
        <w:t>Fama</w:t>
      </w:r>
      <w:proofErr w:type="spellEnd"/>
      <w:r w:rsidR="008C6F4F">
        <w:rPr>
          <w:rFonts w:ascii="Times New Roman" w:eastAsia="宋体" w:hAnsi="Times New Roman" w:cs="Times New Roman"/>
        </w:rPr>
        <w:t>(</w:t>
      </w:r>
      <w:r w:rsidR="00323049" w:rsidRPr="008C6F4F">
        <w:rPr>
          <w:rFonts w:ascii="Times New Roman" w:eastAsia="宋体" w:hAnsi="Times New Roman" w:cs="Times New Roman"/>
        </w:rPr>
        <w:t>1996</w:t>
      </w:r>
      <w:r w:rsidR="008C6F4F">
        <w:rPr>
          <w:rFonts w:ascii="Times New Roman" w:eastAsia="宋体" w:hAnsi="Times New Roman" w:cs="Times New Roman"/>
        </w:rPr>
        <w:t>)</w:t>
      </w:r>
      <w:r w:rsidR="00323049">
        <w:rPr>
          <w:rFonts w:ascii="宋体" w:eastAsia="宋体" w:hAnsi="宋体" w:hint="eastAsia"/>
        </w:rPr>
        <w:t>的论文中无风险利率选择美联储</w:t>
      </w:r>
      <w:r w:rsidR="00323049" w:rsidRPr="00A671E8">
        <w:rPr>
          <w:rFonts w:ascii="Times New Roman" w:eastAsia="宋体" w:hAnsi="Times New Roman" w:cs="Times New Roman"/>
        </w:rPr>
        <w:t>1</w:t>
      </w:r>
      <w:r w:rsidR="00323049">
        <w:rPr>
          <w:rFonts w:ascii="宋体" w:eastAsia="宋体" w:hAnsi="宋体" w:hint="eastAsia"/>
        </w:rPr>
        <w:t>月期国库券的利率。</w:t>
      </w:r>
      <w:r w:rsidR="004B6EEA">
        <w:rPr>
          <w:rFonts w:ascii="宋体" w:eastAsia="宋体" w:hAnsi="宋体" w:hint="eastAsia"/>
        </w:rPr>
        <w:t>本文中所选取的无风险利率水平，考虑到</w:t>
      </w:r>
      <w:r w:rsidR="00F72F4C">
        <w:rPr>
          <w:rFonts w:ascii="宋体" w:eastAsia="宋体" w:hAnsi="宋体" w:hint="eastAsia"/>
        </w:rPr>
        <w:t>在早期，中国还没有发行国债，因此选用的是人民银行公布的三个月定期存款利率折算的连续</w:t>
      </w:r>
      <w:proofErr w:type="gramStart"/>
      <w:r w:rsidR="00F72F4C">
        <w:rPr>
          <w:rFonts w:ascii="宋体" w:eastAsia="宋体" w:hAnsi="宋体" w:hint="eastAsia"/>
        </w:rPr>
        <w:t>复利月</w:t>
      </w:r>
      <w:proofErr w:type="gramEnd"/>
      <w:r w:rsidR="00F72F4C">
        <w:rPr>
          <w:rFonts w:ascii="宋体" w:eastAsia="宋体" w:hAnsi="宋体" w:hint="eastAsia"/>
        </w:rPr>
        <w:t>收益率来衡量</w:t>
      </w:r>
      <w:r w:rsidR="007A5744">
        <w:rPr>
          <w:rFonts w:ascii="宋体" w:eastAsia="宋体" w:hAnsi="宋体" w:hint="eastAsia"/>
        </w:rPr>
        <w:t>无风险收益率</w:t>
      </w:r>
      <w:r w:rsidR="00F72F4C">
        <w:rPr>
          <w:rFonts w:ascii="宋体" w:eastAsia="宋体" w:hAnsi="宋体" w:hint="eastAsia"/>
        </w:rPr>
        <w:t>。</w:t>
      </w:r>
    </w:p>
    <w:p w:rsidR="00A337E3" w:rsidRPr="005B1C9A" w:rsidRDefault="00A337E3" w:rsidP="00237041">
      <w:pPr>
        <w:rPr>
          <w:rFonts w:ascii="宋体" w:eastAsia="宋体" w:hAnsi="宋体"/>
          <w:color w:val="FF0000"/>
        </w:rPr>
      </w:pPr>
      <w:r w:rsidRPr="005B1C9A">
        <w:rPr>
          <w:rFonts w:ascii="宋体" w:eastAsia="宋体" w:hAnsi="宋体"/>
          <w:color w:val="FF0000"/>
        </w:rPr>
        <w:tab/>
      </w:r>
      <w:r w:rsidR="0016576B" w:rsidRPr="005B1C9A">
        <w:rPr>
          <w:rFonts w:ascii="宋体" w:eastAsia="宋体" w:hAnsi="宋体" w:hint="eastAsia"/>
          <w:color w:val="FF0000"/>
        </w:rPr>
        <w:t>（</w:t>
      </w:r>
      <w:r w:rsidRPr="005B1C9A">
        <w:rPr>
          <w:rFonts w:ascii="宋体" w:eastAsia="宋体" w:hAnsi="宋体" w:hint="eastAsia"/>
          <w:color w:val="FF0000"/>
        </w:rPr>
        <w:t>由于在</w:t>
      </w:r>
      <w:r w:rsidRPr="005B1C9A">
        <w:rPr>
          <w:rFonts w:ascii="Times New Roman" w:eastAsia="宋体" w:hAnsi="Times New Roman" w:cs="Times New Roman"/>
          <w:color w:val="FF0000"/>
        </w:rPr>
        <w:t>06</w:t>
      </w:r>
      <w:r w:rsidRPr="005B1C9A">
        <w:rPr>
          <w:rFonts w:ascii="宋体" w:eastAsia="宋体" w:hAnsi="宋体" w:hint="eastAsia"/>
          <w:color w:val="FF0000"/>
        </w:rPr>
        <w:t>年，中国股市基本完成了股权分置改革</w:t>
      </w:r>
      <w:r w:rsidR="00696AB0" w:rsidRPr="005B1C9A">
        <w:rPr>
          <w:rFonts w:ascii="宋体" w:eastAsia="宋体" w:hAnsi="宋体" w:hint="eastAsia"/>
          <w:color w:val="FF0000"/>
        </w:rPr>
        <w:t>；</w:t>
      </w:r>
      <w:r w:rsidR="00696AB0" w:rsidRPr="005B1C9A">
        <w:rPr>
          <w:rFonts w:ascii="Times New Roman" w:eastAsia="宋体" w:hAnsi="Times New Roman" w:cs="Times New Roman"/>
          <w:color w:val="FF0000"/>
        </w:rPr>
        <w:t>08</w:t>
      </w:r>
      <w:r w:rsidR="00696AB0" w:rsidRPr="005B1C9A">
        <w:rPr>
          <w:rFonts w:ascii="宋体" w:eastAsia="宋体" w:hAnsi="宋体" w:hint="eastAsia"/>
          <w:color w:val="FF0000"/>
        </w:rPr>
        <w:t>年由于金融危机影响，中国股票经历了股灾，基本到</w:t>
      </w:r>
      <w:r w:rsidR="00696AB0" w:rsidRPr="005B1C9A">
        <w:rPr>
          <w:rFonts w:ascii="Times New Roman" w:eastAsia="宋体" w:hAnsi="Times New Roman" w:cs="Times New Roman"/>
          <w:color w:val="FF0000"/>
        </w:rPr>
        <w:t>09</w:t>
      </w:r>
      <w:r w:rsidR="00696AB0" w:rsidRPr="005B1C9A">
        <w:rPr>
          <w:rFonts w:ascii="宋体" w:eastAsia="宋体" w:hAnsi="宋体" w:hint="eastAsia"/>
          <w:color w:val="FF0000"/>
        </w:rPr>
        <w:t>年危机才基本消除。因此本</w:t>
      </w:r>
      <w:r w:rsidRPr="005B1C9A">
        <w:rPr>
          <w:rFonts w:ascii="宋体" w:eastAsia="宋体" w:hAnsi="宋体" w:hint="eastAsia"/>
          <w:color w:val="FF0000"/>
        </w:rPr>
        <w:t>文除了对</w:t>
      </w:r>
      <w:r w:rsidRPr="005B1C9A">
        <w:rPr>
          <w:rFonts w:ascii="Times New Roman" w:eastAsia="宋体" w:hAnsi="Times New Roman" w:cs="Times New Roman"/>
          <w:color w:val="FF0000"/>
        </w:rPr>
        <w:t>2000-2016</w:t>
      </w:r>
      <w:r w:rsidRPr="005B1C9A">
        <w:rPr>
          <w:rFonts w:ascii="宋体" w:eastAsia="宋体" w:hAnsi="宋体" w:hint="eastAsia"/>
          <w:color w:val="FF0000"/>
        </w:rPr>
        <w:t>年整体的数据进行处理分析，还会将时间按照</w:t>
      </w:r>
      <w:r w:rsidRPr="005B1C9A">
        <w:rPr>
          <w:rFonts w:ascii="Times New Roman" w:eastAsia="宋体" w:hAnsi="Times New Roman" w:cs="Times New Roman"/>
          <w:color w:val="FF0000"/>
        </w:rPr>
        <w:t>06</w:t>
      </w:r>
      <w:r w:rsidRPr="005B1C9A">
        <w:rPr>
          <w:rFonts w:ascii="宋体" w:eastAsia="宋体" w:hAnsi="宋体" w:hint="eastAsia"/>
          <w:color w:val="FF0000"/>
        </w:rPr>
        <w:t>年前，</w:t>
      </w:r>
      <w:r w:rsidRPr="005B1C9A">
        <w:rPr>
          <w:rFonts w:ascii="Times New Roman" w:eastAsia="宋体" w:hAnsi="Times New Roman" w:cs="Times New Roman"/>
          <w:color w:val="FF0000"/>
        </w:rPr>
        <w:t>06-09</w:t>
      </w:r>
      <w:r w:rsidRPr="005B1C9A">
        <w:rPr>
          <w:rFonts w:ascii="宋体" w:eastAsia="宋体" w:hAnsi="宋体" w:hint="eastAsia"/>
          <w:color w:val="FF0000"/>
        </w:rPr>
        <w:t>年，</w:t>
      </w:r>
      <w:r w:rsidRPr="005B1C9A">
        <w:rPr>
          <w:rFonts w:ascii="Times New Roman" w:eastAsia="宋体" w:hAnsi="Times New Roman" w:cs="Times New Roman"/>
          <w:color w:val="FF0000"/>
        </w:rPr>
        <w:t>10</w:t>
      </w:r>
      <w:r w:rsidRPr="005B1C9A">
        <w:rPr>
          <w:rFonts w:ascii="宋体" w:eastAsia="宋体" w:hAnsi="宋体" w:hint="eastAsia"/>
          <w:color w:val="FF0000"/>
        </w:rPr>
        <w:t>年往后进行</w:t>
      </w:r>
      <w:r w:rsidR="0058485C" w:rsidRPr="005B1C9A">
        <w:rPr>
          <w:rFonts w:ascii="宋体" w:eastAsia="宋体" w:hAnsi="宋体" w:hint="eastAsia"/>
          <w:color w:val="FF0000"/>
        </w:rPr>
        <w:t>分类，做比较分析。</w:t>
      </w:r>
      <w:r w:rsidR="0016576B" w:rsidRPr="005B1C9A">
        <w:rPr>
          <w:rFonts w:ascii="宋体" w:eastAsia="宋体" w:hAnsi="宋体" w:hint="eastAsia"/>
          <w:color w:val="FF0000"/>
        </w:rPr>
        <w:t>）</w:t>
      </w:r>
    </w:p>
    <w:p w:rsidR="00AB0D78" w:rsidRDefault="00B52473" w:rsidP="0023704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关于</w:t>
      </w:r>
      <w:r w:rsidRPr="00A671E8">
        <w:rPr>
          <w:rFonts w:ascii="Times New Roman" w:eastAsia="宋体" w:hAnsi="Times New Roman" w:cs="Times New Roman"/>
        </w:rPr>
        <w:t>SMB</w:t>
      </w:r>
      <w:r>
        <w:rPr>
          <w:rFonts w:ascii="宋体" w:eastAsia="宋体" w:hAnsi="宋体" w:hint="eastAsia"/>
        </w:rPr>
        <w:t>（</w:t>
      </w:r>
      <w:r w:rsidR="00861CA0">
        <w:rPr>
          <w:rFonts w:ascii="宋体" w:eastAsia="宋体" w:hAnsi="宋体" w:hint="eastAsia"/>
        </w:rPr>
        <w:t>流通</w:t>
      </w:r>
      <w:r>
        <w:rPr>
          <w:rFonts w:ascii="宋体" w:eastAsia="宋体" w:hAnsi="宋体" w:hint="eastAsia"/>
        </w:rPr>
        <w:t>市值因子）和</w:t>
      </w:r>
      <w:r w:rsidRPr="00A671E8">
        <w:rPr>
          <w:rFonts w:ascii="Times New Roman" w:eastAsia="宋体" w:hAnsi="Times New Roman" w:cs="Times New Roman"/>
        </w:rPr>
        <w:t>HML</w:t>
      </w:r>
      <w:r>
        <w:rPr>
          <w:rFonts w:ascii="宋体" w:eastAsia="宋体" w:hAnsi="宋体" w:hint="eastAsia"/>
        </w:rPr>
        <w:t>（</w:t>
      </w:r>
      <w:r w:rsidR="00861CA0">
        <w:rPr>
          <w:rFonts w:ascii="宋体" w:eastAsia="宋体" w:hAnsi="宋体" w:hint="eastAsia"/>
        </w:rPr>
        <w:t>账面</w:t>
      </w:r>
      <w:r>
        <w:rPr>
          <w:rFonts w:ascii="宋体" w:eastAsia="宋体" w:hAnsi="宋体" w:hint="eastAsia"/>
        </w:rPr>
        <w:t>价值</w:t>
      </w:r>
      <w:r w:rsidR="00861CA0">
        <w:rPr>
          <w:rFonts w:ascii="宋体" w:eastAsia="宋体" w:hAnsi="宋体" w:hint="eastAsia"/>
        </w:rPr>
        <w:t>比</w:t>
      </w:r>
      <w:r>
        <w:rPr>
          <w:rFonts w:ascii="宋体" w:eastAsia="宋体" w:hAnsi="宋体" w:hint="eastAsia"/>
        </w:rPr>
        <w:t>因子）的处理。</w:t>
      </w:r>
      <w:r w:rsidR="00AF3B59">
        <w:rPr>
          <w:rFonts w:ascii="宋体" w:eastAsia="宋体" w:hAnsi="宋体" w:hint="eastAsia"/>
        </w:rPr>
        <w:t>对于流通市值</w:t>
      </w:r>
      <w:r w:rsidR="00A671E8" w:rsidRPr="00A671E8">
        <w:rPr>
          <w:rFonts w:ascii="Times New Roman" w:eastAsia="宋体" w:hAnsi="Times New Roman" w:cs="Times New Roman"/>
        </w:rPr>
        <w:t>(</w:t>
      </w:r>
      <w:r w:rsidR="00F35C35" w:rsidRPr="00A671E8">
        <w:rPr>
          <w:rFonts w:ascii="Times New Roman" w:eastAsia="宋体" w:hAnsi="Times New Roman" w:cs="Times New Roman"/>
        </w:rPr>
        <w:t>ME</w:t>
      </w:r>
      <w:r w:rsidR="00A671E8" w:rsidRPr="00A671E8">
        <w:rPr>
          <w:rFonts w:ascii="Times New Roman" w:eastAsia="宋体" w:hAnsi="Times New Roman" w:cs="Times New Roman"/>
        </w:rPr>
        <w:t>）</w:t>
      </w:r>
      <w:r w:rsidR="00AF3B59">
        <w:rPr>
          <w:rFonts w:ascii="宋体" w:eastAsia="宋体" w:hAnsi="宋体" w:hint="eastAsia"/>
        </w:rPr>
        <w:t>分类</w:t>
      </w:r>
      <w:r>
        <w:rPr>
          <w:rFonts w:ascii="宋体" w:eastAsia="宋体" w:hAnsi="宋体" w:hint="eastAsia"/>
        </w:rPr>
        <w:t>：本文中，模仿</w:t>
      </w:r>
      <w:proofErr w:type="spellStart"/>
      <w:r w:rsidRPr="00A671E8">
        <w:rPr>
          <w:rFonts w:ascii="Times New Roman" w:eastAsia="宋体" w:hAnsi="Times New Roman" w:cs="Times New Roman"/>
        </w:rPr>
        <w:t>Fama</w:t>
      </w:r>
      <w:proofErr w:type="spellEnd"/>
      <w:r>
        <w:rPr>
          <w:rFonts w:ascii="宋体" w:eastAsia="宋体" w:hAnsi="宋体" w:hint="eastAsia"/>
        </w:rPr>
        <w:t>，我将股票按照市值进行排序，根据中位数进行分割。小市值分类为</w:t>
      </w:r>
      <w:r w:rsidRPr="00D038FC">
        <w:rPr>
          <w:rFonts w:ascii="Times New Roman" w:eastAsia="宋体" w:hAnsi="Times New Roman" w:cs="Times New Roman"/>
        </w:rPr>
        <w:t>“S”</w:t>
      </w:r>
      <w:r>
        <w:rPr>
          <w:rFonts w:ascii="宋体" w:eastAsia="宋体" w:hAnsi="宋体" w:hint="eastAsia"/>
        </w:rPr>
        <w:t>，大市值分类为</w:t>
      </w:r>
      <w:r w:rsidRPr="00D038FC">
        <w:rPr>
          <w:rFonts w:ascii="Times New Roman" w:eastAsia="宋体" w:hAnsi="Times New Roman" w:cs="Times New Roman"/>
        </w:rPr>
        <w:t>“B”</w:t>
      </w:r>
      <w:r>
        <w:rPr>
          <w:rFonts w:ascii="宋体" w:eastAsia="宋体" w:hAnsi="宋体" w:hint="eastAsia"/>
        </w:rPr>
        <w:t>。</w:t>
      </w:r>
      <w:r w:rsidR="00861CA0">
        <w:rPr>
          <w:rFonts w:ascii="宋体" w:eastAsia="宋体" w:hAnsi="宋体" w:hint="eastAsia"/>
        </w:rPr>
        <w:t>对于账面价值比</w:t>
      </w:r>
      <w:r w:rsidR="00D038FC">
        <w:rPr>
          <w:rFonts w:ascii="宋体" w:eastAsia="宋体" w:hAnsi="宋体" w:hint="eastAsia"/>
        </w:rPr>
        <w:t>分类</w:t>
      </w:r>
      <w:r w:rsidR="00D038FC" w:rsidRPr="00D038FC">
        <w:rPr>
          <w:rFonts w:ascii="Times New Roman" w:eastAsia="宋体" w:hAnsi="Times New Roman" w:cs="Times New Roman"/>
        </w:rPr>
        <w:t>(</w:t>
      </w:r>
      <w:r w:rsidR="00861CA0" w:rsidRPr="00D038FC">
        <w:rPr>
          <w:rFonts w:ascii="Times New Roman" w:eastAsia="宋体" w:hAnsi="Times New Roman" w:cs="Times New Roman"/>
        </w:rPr>
        <w:t>BE/ME</w:t>
      </w:r>
      <w:r w:rsidR="00D038FC" w:rsidRPr="00D038FC">
        <w:rPr>
          <w:rFonts w:ascii="Times New Roman" w:eastAsia="宋体" w:hAnsi="Times New Roman" w:cs="Times New Roman"/>
        </w:rPr>
        <w:t>)</w:t>
      </w:r>
      <w:r>
        <w:rPr>
          <w:rFonts w:ascii="宋体" w:eastAsia="宋体" w:hAnsi="宋体" w:hint="eastAsia"/>
        </w:rPr>
        <w:t>：将股市按照账面价值和流通市值的比，进行排序。高的</w:t>
      </w:r>
      <w:r w:rsidRPr="008A1EF2">
        <w:rPr>
          <w:rFonts w:ascii="Times New Roman" w:eastAsia="宋体" w:hAnsi="Times New Roman" w:cs="Times New Roman"/>
        </w:rPr>
        <w:t>30%</w:t>
      </w:r>
      <w:r>
        <w:rPr>
          <w:rFonts w:ascii="宋体" w:eastAsia="宋体" w:hAnsi="宋体" w:hint="eastAsia"/>
        </w:rPr>
        <w:t>为高账面市值比</w:t>
      </w:r>
      <w:r w:rsidRPr="00D038FC">
        <w:rPr>
          <w:rFonts w:ascii="Times New Roman" w:eastAsia="宋体" w:hAnsi="Times New Roman" w:cs="Times New Roman"/>
        </w:rPr>
        <w:t>“H”</w:t>
      </w:r>
      <w:r>
        <w:rPr>
          <w:rFonts w:ascii="宋体" w:eastAsia="宋体" w:hAnsi="宋体" w:hint="eastAsia"/>
        </w:rPr>
        <w:t>，低的30%为低账面市值比</w:t>
      </w:r>
      <w:r w:rsidRPr="00D038FC">
        <w:rPr>
          <w:rFonts w:ascii="Times New Roman" w:eastAsia="宋体" w:hAnsi="Times New Roman" w:cs="Times New Roman"/>
        </w:rPr>
        <w:t>“L”</w:t>
      </w:r>
      <w:r>
        <w:rPr>
          <w:rFonts w:ascii="宋体" w:eastAsia="宋体" w:hAnsi="宋体" w:hint="eastAsia"/>
        </w:rPr>
        <w:t>，其余为中等账面市值比</w:t>
      </w:r>
      <w:r w:rsidRPr="00D038FC">
        <w:rPr>
          <w:rFonts w:ascii="Times New Roman" w:eastAsia="宋体" w:hAnsi="Times New Roman" w:cs="Times New Roman"/>
        </w:rPr>
        <w:t>“M”</w:t>
      </w:r>
      <w:r w:rsidR="00D2686D">
        <w:rPr>
          <w:rFonts w:ascii="宋体" w:eastAsia="宋体" w:hAnsi="宋体" w:hint="eastAsia"/>
        </w:rPr>
        <w:t>。通过高低组之间的加权回报率（权重为流通市值），计算溢价因子。</w:t>
      </w:r>
    </w:p>
    <w:p w:rsidR="0098022E" w:rsidRDefault="0098022E" w:rsidP="0014754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="00342B9F">
        <w:rPr>
          <w:rFonts w:ascii="宋体" w:eastAsia="宋体" w:hAnsi="宋体" w:hint="eastAsia"/>
        </w:rPr>
        <w:t>[</w:t>
      </w:r>
      <w:r w:rsidR="009311D7">
        <w:rPr>
          <w:rFonts w:ascii="宋体" w:eastAsia="宋体" w:hAnsi="宋体"/>
        </w:rPr>
        <w:t>1.1</w:t>
      </w:r>
      <w:r w:rsidR="00342B9F">
        <w:rPr>
          <w:rFonts w:ascii="宋体" w:eastAsia="宋体" w:hAnsi="宋体" w:hint="eastAsia"/>
        </w:rPr>
        <w:t>]</w:t>
      </w:r>
      <w:r>
        <w:rPr>
          <w:rFonts w:ascii="宋体" w:eastAsia="宋体" w:hAnsi="宋体" w:hint="eastAsia"/>
        </w:rPr>
        <w:t>为</w:t>
      </w:r>
      <w:r w:rsidR="007E1497">
        <w:rPr>
          <w:rFonts w:ascii="宋体" w:eastAsia="宋体" w:hAnsi="宋体" w:hint="eastAsia"/>
        </w:rPr>
        <w:t>各因子之间相关系数矩阵表。可以看出，因子之间基本没有相关性，基本不存在多重共线性的问题。</w:t>
      </w:r>
    </w:p>
    <w:p w:rsidR="009311D7" w:rsidRDefault="009311D7" w:rsidP="0014754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="00342B9F"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1.1</w:t>
      </w:r>
      <w:r w:rsidR="00342B9F">
        <w:rPr>
          <w:rFonts w:ascii="宋体" w:eastAsia="宋体" w:hAnsi="宋体" w:hint="eastAsia"/>
        </w:rPr>
        <w:t>]</w:t>
      </w:r>
      <w:r w:rsidR="00E5304E">
        <w:rPr>
          <w:rFonts w:ascii="宋体" w:eastAsia="宋体" w:hAnsi="宋体" w:hint="eastAsia"/>
        </w:rPr>
        <w:t>：</w:t>
      </w:r>
    </w:p>
    <w:p w:rsidR="00B52473" w:rsidRDefault="007E1497" w:rsidP="007E1497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B08A8F0" wp14:editId="2FB168FA">
            <wp:extent cx="3406581" cy="13462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798" cy="13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58" w:rsidRDefault="00640958" w:rsidP="007E149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表[1.1]各因子间相关系数矩阵表</w:t>
      </w:r>
    </w:p>
    <w:p w:rsidR="00CC5082" w:rsidRDefault="00CC5082" w:rsidP="00CC508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在对于各模型进行检验中，模仿</w:t>
      </w:r>
      <w:proofErr w:type="spellStart"/>
      <w:r>
        <w:rPr>
          <w:rFonts w:ascii="宋体" w:eastAsia="宋体" w:hAnsi="宋体" w:hint="eastAsia"/>
        </w:rPr>
        <w:t>Fama</w:t>
      </w:r>
      <w:proofErr w:type="spellEnd"/>
      <w:r>
        <w:rPr>
          <w:rFonts w:ascii="宋体" w:eastAsia="宋体" w:hAnsi="宋体" w:hint="eastAsia"/>
        </w:rPr>
        <w:t>的方案，我将股市按照市值分成5组（分位数），按照账面价值比再分为5组，交叉得到25组数据。</w:t>
      </w:r>
    </w:p>
    <w:p w:rsidR="007E1497" w:rsidRDefault="00FD76AD" w:rsidP="00FD76A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="00342B9F"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1.2</w:t>
      </w:r>
      <w:r w:rsidR="00342B9F">
        <w:rPr>
          <w:rFonts w:ascii="宋体" w:eastAsia="宋体" w:hAnsi="宋体" w:hint="eastAsia"/>
        </w:rPr>
        <w:t>]</w:t>
      </w:r>
      <w:r>
        <w:rPr>
          <w:rFonts w:ascii="宋体" w:eastAsia="宋体" w:hAnsi="宋体" w:hint="eastAsia"/>
        </w:rPr>
        <w:t>—表</w:t>
      </w:r>
      <w:r w:rsidR="00342B9F"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1.</w:t>
      </w:r>
      <w:r w:rsidR="00107816">
        <w:rPr>
          <w:rFonts w:ascii="宋体" w:eastAsia="宋体" w:hAnsi="宋体" w:hint="eastAsia"/>
        </w:rPr>
        <w:t>5</w:t>
      </w:r>
      <w:r w:rsidR="00342B9F">
        <w:rPr>
          <w:rFonts w:ascii="宋体" w:eastAsia="宋体" w:hAnsi="宋体" w:hint="eastAsia"/>
        </w:rPr>
        <w:t>]</w:t>
      </w:r>
      <w:r w:rsidR="00CC5082">
        <w:rPr>
          <w:rFonts w:ascii="宋体" w:eastAsia="宋体" w:hAnsi="宋体" w:hint="eastAsia"/>
        </w:rPr>
        <w:t>是对于25组的相关指标分组描述性统计。</w:t>
      </w:r>
    </w:p>
    <w:p w:rsidR="00F06E41" w:rsidRDefault="00F06E41" w:rsidP="00FD76AD">
      <w:pPr>
        <w:ind w:firstLine="420"/>
        <w:jc w:val="left"/>
        <w:rPr>
          <w:rFonts w:ascii="宋体" w:eastAsia="宋体" w:hAnsi="宋体"/>
        </w:rPr>
      </w:pPr>
    </w:p>
    <w:p w:rsidR="00F06E41" w:rsidRDefault="00F06E41" w:rsidP="00FD76AD">
      <w:pPr>
        <w:ind w:firstLine="420"/>
        <w:jc w:val="left"/>
        <w:rPr>
          <w:rFonts w:ascii="宋体" w:eastAsia="宋体" w:hAnsi="宋体"/>
        </w:rPr>
      </w:pPr>
    </w:p>
    <w:p w:rsidR="00F06E41" w:rsidRDefault="00F06E41" w:rsidP="00FD76AD">
      <w:pPr>
        <w:ind w:firstLine="420"/>
        <w:jc w:val="left"/>
        <w:rPr>
          <w:rFonts w:ascii="宋体" w:eastAsia="宋体" w:hAnsi="宋体"/>
        </w:rPr>
      </w:pPr>
    </w:p>
    <w:p w:rsidR="00F06E41" w:rsidRDefault="00F06E41" w:rsidP="00FD76AD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表[</w:t>
      </w:r>
      <w:r>
        <w:rPr>
          <w:rFonts w:ascii="宋体" w:eastAsia="宋体" w:hAnsi="宋体"/>
        </w:rPr>
        <w:t>1.2</w:t>
      </w:r>
      <w:r>
        <w:rPr>
          <w:rFonts w:ascii="宋体" w:eastAsia="宋体" w:hAnsi="宋体" w:hint="eastAsia"/>
        </w:rPr>
        <w:t>]</w:t>
      </w:r>
      <w:r>
        <w:rPr>
          <w:rFonts w:ascii="宋体" w:eastAsia="宋体" w:hAnsi="宋体"/>
        </w:rPr>
        <w:t>:</w:t>
      </w:r>
    </w:p>
    <w:p w:rsidR="00E5304E" w:rsidRDefault="00FA6AFE" w:rsidP="00F06E41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0AE5751" wp14:editId="7510953F">
            <wp:extent cx="5274310" cy="1852930"/>
            <wp:effectExtent l="0" t="0" r="2540" b="0"/>
            <wp:docPr id="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C94FDDD2-5FDB-4568-8077-CC6DB336FF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C94FDDD2-5FDB-4568-8077-CC6DB336FF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06E41" w:rsidRDefault="00F06E41" w:rsidP="00F06E41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表[</w:t>
      </w:r>
      <w:r>
        <w:rPr>
          <w:rFonts w:ascii="宋体" w:eastAsia="宋体" w:hAnsi="宋体"/>
        </w:rPr>
        <w:t>1.2</w:t>
      </w:r>
      <w:r>
        <w:rPr>
          <w:rFonts w:ascii="宋体" w:eastAsia="宋体" w:hAnsi="宋体" w:hint="eastAsia"/>
        </w:rPr>
        <w:t>]</w:t>
      </w:r>
      <w:r>
        <w:rPr>
          <w:rFonts w:ascii="宋体" w:eastAsia="宋体" w:hAnsi="宋体"/>
        </w:rPr>
        <w:t>2000-2016</w:t>
      </w:r>
      <w:r>
        <w:rPr>
          <w:rFonts w:ascii="宋体" w:eastAsia="宋体" w:hAnsi="宋体" w:hint="eastAsia"/>
        </w:rPr>
        <w:t>年分组加权回报率的</w:t>
      </w:r>
      <w:r w:rsidR="00581CC1">
        <w:rPr>
          <w:rFonts w:ascii="宋体" w:eastAsia="宋体" w:hAnsi="宋体" w:hint="eastAsia"/>
        </w:rPr>
        <w:t>描述性统计表</w:t>
      </w:r>
    </w:p>
    <w:p w:rsidR="00E5304E" w:rsidRPr="005B1C9A" w:rsidRDefault="00E5304E" w:rsidP="00F06E41">
      <w:pPr>
        <w:jc w:val="left"/>
        <w:rPr>
          <w:rFonts w:ascii="宋体" w:eastAsia="宋体" w:hAnsi="宋体"/>
          <w:color w:val="FF0000"/>
        </w:rPr>
      </w:pPr>
    </w:p>
    <w:p w:rsidR="00E5304E" w:rsidRPr="005B1C9A" w:rsidRDefault="00775604" w:rsidP="00FD76AD">
      <w:pPr>
        <w:ind w:firstLine="420"/>
        <w:jc w:val="left"/>
        <w:rPr>
          <w:rFonts w:ascii="宋体" w:eastAsia="宋体" w:hAnsi="宋体"/>
          <w:color w:val="FF0000"/>
        </w:rPr>
      </w:pPr>
      <w:r w:rsidRPr="005B1C9A">
        <w:rPr>
          <w:rFonts w:ascii="宋体" w:eastAsia="宋体" w:hAnsi="宋体" w:hint="eastAsia"/>
          <w:color w:val="FF0000"/>
        </w:rPr>
        <w:t>表[</w:t>
      </w:r>
      <w:r w:rsidRPr="005B1C9A">
        <w:rPr>
          <w:rFonts w:ascii="宋体" w:eastAsia="宋体" w:hAnsi="宋体"/>
          <w:color w:val="FF0000"/>
        </w:rPr>
        <w:t>1.3</w:t>
      </w:r>
      <w:r w:rsidRPr="005B1C9A">
        <w:rPr>
          <w:rFonts w:ascii="宋体" w:eastAsia="宋体" w:hAnsi="宋体" w:hint="eastAsia"/>
          <w:color w:val="FF0000"/>
        </w:rPr>
        <w:t>]</w:t>
      </w:r>
      <w:r w:rsidRPr="005B1C9A">
        <w:rPr>
          <w:rFonts w:ascii="宋体" w:eastAsia="宋体" w:hAnsi="宋体"/>
          <w:color w:val="FF0000"/>
        </w:rPr>
        <w:t>:</w:t>
      </w:r>
    </w:p>
    <w:p w:rsidR="00E5304E" w:rsidRPr="005B1C9A" w:rsidRDefault="00E73B61" w:rsidP="00187959">
      <w:pPr>
        <w:jc w:val="left"/>
        <w:rPr>
          <w:rFonts w:ascii="宋体" w:eastAsia="宋体" w:hAnsi="宋体"/>
          <w:color w:val="FF0000"/>
        </w:rPr>
      </w:pPr>
      <w:r w:rsidRPr="005B1C9A">
        <w:rPr>
          <w:noProof/>
          <w:color w:val="FF0000"/>
        </w:rPr>
        <w:drawing>
          <wp:inline distT="0" distB="0" distL="0" distR="0" wp14:anchorId="1A793AB0" wp14:editId="0221E92F">
            <wp:extent cx="5274310" cy="1843405"/>
            <wp:effectExtent l="0" t="0" r="2540" b="444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599513D-BB5F-4C04-9E1D-47AED06B53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599513D-BB5F-4C04-9E1D-47AED06B538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87959" w:rsidRPr="005B1C9A" w:rsidRDefault="00187959" w:rsidP="00187959">
      <w:pPr>
        <w:jc w:val="center"/>
        <w:rPr>
          <w:rFonts w:ascii="宋体" w:eastAsia="宋体" w:hAnsi="宋体"/>
          <w:color w:val="FF0000"/>
        </w:rPr>
      </w:pPr>
      <w:r w:rsidRPr="005B1C9A">
        <w:rPr>
          <w:rFonts w:ascii="宋体" w:eastAsia="宋体" w:hAnsi="宋体" w:hint="eastAsia"/>
          <w:color w:val="FF0000"/>
        </w:rPr>
        <w:t>表[</w:t>
      </w:r>
      <w:r w:rsidRPr="005B1C9A">
        <w:rPr>
          <w:rFonts w:ascii="宋体" w:eastAsia="宋体" w:hAnsi="宋体"/>
          <w:color w:val="FF0000"/>
        </w:rPr>
        <w:t>1.3</w:t>
      </w:r>
      <w:r w:rsidRPr="005B1C9A">
        <w:rPr>
          <w:rFonts w:ascii="宋体" w:eastAsia="宋体" w:hAnsi="宋体" w:hint="eastAsia"/>
          <w:color w:val="FF0000"/>
        </w:rPr>
        <w:t>]</w:t>
      </w:r>
      <w:r w:rsidRPr="005B1C9A">
        <w:rPr>
          <w:rFonts w:ascii="宋体" w:eastAsia="宋体" w:hAnsi="宋体"/>
          <w:color w:val="FF0000"/>
        </w:rPr>
        <w:t>2000-200</w:t>
      </w:r>
      <w:r w:rsidR="006628B2" w:rsidRPr="005B1C9A">
        <w:rPr>
          <w:rFonts w:ascii="宋体" w:eastAsia="宋体" w:hAnsi="宋体"/>
          <w:color w:val="FF0000"/>
        </w:rPr>
        <w:t>5</w:t>
      </w:r>
      <w:r w:rsidRPr="005B1C9A">
        <w:rPr>
          <w:rFonts w:ascii="宋体" w:eastAsia="宋体" w:hAnsi="宋体" w:hint="eastAsia"/>
          <w:color w:val="FF0000"/>
        </w:rPr>
        <w:t>年分组加权回报率的描述性统计表</w:t>
      </w:r>
    </w:p>
    <w:p w:rsidR="00E5304E" w:rsidRPr="005B1C9A" w:rsidRDefault="00E5304E" w:rsidP="00E00BA7">
      <w:pPr>
        <w:rPr>
          <w:rFonts w:ascii="宋体" w:eastAsia="宋体" w:hAnsi="宋体"/>
          <w:color w:val="FF0000"/>
        </w:rPr>
      </w:pPr>
    </w:p>
    <w:p w:rsidR="00775604" w:rsidRPr="005B1C9A" w:rsidRDefault="00CE1B24" w:rsidP="00CE1B24">
      <w:pPr>
        <w:ind w:firstLine="420"/>
        <w:jc w:val="left"/>
        <w:rPr>
          <w:rFonts w:ascii="宋体" w:eastAsia="宋体" w:hAnsi="宋体"/>
          <w:color w:val="FF0000"/>
        </w:rPr>
      </w:pPr>
      <w:r w:rsidRPr="005B1C9A">
        <w:rPr>
          <w:rFonts w:ascii="宋体" w:eastAsia="宋体" w:hAnsi="宋体" w:hint="eastAsia"/>
          <w:color w:val="FF0000"/>
        </w:rPr>
        <w:t>表[</w:t>
      </w:r>
      <w:r w:rsidRPr="005B1C9A">
        <w:rPr>
          <w:rFonts w:ascii="宋体" w:eastAsia="宋体" w:hAnsi="宋体"/>
          <w:color w:val="FF0000"/>
        </w:rPr>
        <w:t>1.4</w:t>
      </w:r>
      <w:r w:rsidRPr="005B1C9A">
        <w:rPr>
          <w:rFonts w:ascii="宋体" w:eastAsia="宋体" w:hAnsi="宋体" w:hint="eastAsia"/>
          <w:color w:val="FF0000"/>
        </w:rPr>
        <w:t>]</w:t>
      </w:r>
      <w:r w:rsidRPr="005B1C9A">
        <w:rPr>
          <w:rFonts w:ascii="宋体" w:eastAsia="宋体" w:hAnsi="宋体"/>
          <w:color w:val="FF0000"/>
        </w:rPr>
        <w:t>:</w:t>
      </w:r>
    </w:p>
    <w:p w:rsidR="00775604" w:rsidRPr="005B1C9A" w:rsidRDefault="0081165C" w:rsidP="00CE1B24">
      <w:pPr>
        <w:jc w:val="left"/>
        <w:rPr>
          <w:rFonts w:ascii="宋体" w:eastAsia="宋体" w:hAnsi="宋体"/>
          <w:color w:val="FF0000"/>
        </w:rPr>
      </w:pPr>
      <w:r w:rsidRPr="005B1C9A">
        <w:rPr>
          <w:noProof/>
          <w:color w:val="FF0000"/>
        </w:rPr>
        <w:drawing>
          <wp:inline distT="0" distB="0" distL="0" distR="0" wp14:anchorId="032A7A2E" wp14:editId="46AE4059">
            <wp:extent cx="5274310" cy="1847850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57E02335-0684-4D82-AFD1-0CE6186D6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57E02335-0684-4D82-AFD1-0CE6186D6E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75604" w:rsidRPr="005B1C9A" w:rsidRDefault="00CE1B24" w:rsidP="00CE1B24">
      <w:pPr>
        <w:jc w:val="center"/>
        <w:rPr>
          <w:rFonts w:ascii="宋体" w:eastAsia="宋体" w:hAnsi="宋体"/>
          <w:color w:val="FF0000"/>
        </w:rPr>
      </w:pPr>
      <w:r w:rsidRPr="005B1C9A">
        <w:rPr>
          <w:rFonts w:ascii="宋体" w:eastAsia="宋体" w:hAnsi="宋体" w:hint="eastAsia"/>
          <w:color w:val="FF0000"/>
        </w:rPr>
        <w:t>表[</w:t>
      </w:r>
      <w:r w:rsidRPr="005B1C9A">
        <w:rPr>
          <w:rFonts w:ascii="宋体" w:eastAsia="宋体" w:hAnsi="宋体"/>
          <w:color w:val="FF0000"/>
        </w:rPr>
        <w:t>1.4</w:t>
      </w:r>
      <w:r w:rsidRPr="005B1C9A">
        <w:rPr>
          <w:rFonts w:ascii="宋体" w:eastAsia="宋体" w:hAnsi="宋体" w:hint="eastAsia"/>
          <w:color w:val="FF0000"/>
        </w:rPr>
        <w:t>]</w:t>
      </w:r>
      <w:r w:rsidRPr="005B1C9A">
        <w:rPr>
          <w:rFonts w:ascii="宋体" w:eastAsia="宋体" w:hAnsi="宋体"/>
          <w:color w:val="FF0000"/>
        </w:rPr>
        <w:t>2006-2009</w:t>
      </w:r>
      <w:r w:rsidRPr="005B1C9A">
        <w:rPr>
          <w:rFonts w:ascii="宋体" w:eastAsia="宋体" w:hAnsi="宋体" w:hint="eastAsia"/>
          <w:color w:val="FF0000"/>
        </w:rPr>
        <w:t>年分组加权回报率的描述性统计表</w:t>
      </w:r>
    </w:p>
    <w:p w:rsidR="00775604" w:rsidRPr="005B1C9A" w:rsidRDefault="00775604" w:rsidP="00FD76AD">
      <w:pPr>
        <w:ind w:firstLine="420"/>
        <w:jc w:val="left"/>
        <w:rPr>
          <w:rFonts w:ascii="宋体" w:eastAsia="宋体" w:hAnsi="宋体"/>
          <w:color w:val="FF0000"/>
        </w:rPr>
      </w:pPr>
    </w:p>
    <w:p w:rsidR="003114FF" w:rsidRPr="005B1C9A" w:rsidRDefault="003114FF" w:rsidP="00FD76AD">
      <w:pPr>
        <w:ind w:firstLine="420"/>
        <w:jc w:val="left"/>
        <w:rPr>
          <w:rFonts w:ascii="宋体" w:eastAsia="宋体" w:hAnsi="宋体"/>
          <w:color w:val="FF0000"/>
        </w:rPr>
      </w:pPr>
    </w:p>
    <w:p w:rsidR="003114FF" w:rsidRPr="005B1C9A" w:rsidRDefault="003114FF" w:rsidP="00FD76AD">
      <w:pPr>
        <w:ind w:firstLine="420"/>
        <w:jc w:val="left"/>
        <w:rPr>
          <w:rFonts w:ascii="宋体" w:eastAsia="宋体" w:hAnsi="宋体"/>
          <w:color w:val="FF0000"/>
        </w:rPr>
      </w:pPr>
    </w:p>
    <w:p w:rsidR="003114FF" w:rsidRPr="005B1C9A" w:rsidRDefault="003114FF" w:rsidP="00FD76AD">
      <w:pPr>
        <w:ind w:firstLine="420"/>
        <w:jc w:val="left"/>
        <w:rPr>
          <w:rFonts w:ascii="宋体" w:eastAsia="宋体" w:hAnsi="宋体"/>
          <w:color w:val="FF0000"/>
        </w:rPr>
      </w:pPr>
    </w:p>
    <w:p w:rsidR="003114FF" w:rsidRPr="005B1C9A" w:rsidRDefault="003114FF" w:rsidP="00FD76AD">
      <w:pPr>
        <w:ind w:firstLine="420"/>
        <w:jc w:val="left"/>
        <w:rPr>
          <w:rFonts w:ascii="宋体" w:eastAsia="宋体" w:hAnsi="宋体"/>
          <w:color w:val="FF0000"/>
        </w:rPr>
      </w:pPr>
    </w:p>
    <w:p w:rsidR="003114FF" w:rsidRPr="005B1C9A" w:rsidRDefault="003114FF" w:rsidP="00FD76AD">
      <w:pPr>
        <w:ind w:firstLine="420"/>
        <w:jc w:val="left"/>
        <w:rPr>
          <w:rFonts w:ascii="宋体" w:eastAsia="宋体" w:hAnsi="宋体"/>
          <w:color w:val="FF0000"/>
        </w:rPr>
      </w:pPr>
    </w:p>
    <w:p w:rsidR="00775604" w:rsidRPr="005B1C9A" w:rsidRDefault="003114FF" w:rsidP="00FD76AD">
      <w:pPr>
        <w:ind w:firstLine="420"/>
        <w:jc w:val="left"/>
        <w:rPr>
          <w:rFonts w:ascii="宋体" w:eastAsia="宋体" w:hAnsi="宋体"/>
          <w:color w:val="FF0000"/>
        </w:rPr>
      </w:pPr>
      <w:r w:rsidRPr="005B1C9A">
        <w:rPr>
          <w:rFonts w:ascii="宋体" w:eastAsia="宋体" w:hAnsi="宋体" w:hint="eastAsia"/>
          <w:color w:val="FF0000"/>
        </w:rPr>
        <w:lastRenderedPageBreak/>
        <w:t>表[</w:t>
      </w:r>
      <w:r w:rsidRPr="005B1C9A">
        <w:rPr>
          <w:rFonts w:ascii="宋体" w:eastAsia="宋体" w:hAnsi="宋体"/>
          <w:color w:val="FF0000"/>
        </w:rPr>
        <w:t>1.5</w:t>
      </w:r>
      <w:r w:rsidRPr="005B1C9A">
        <w:rPr>
          <w:rFonts w:ascii="宋体" w:eastAsia="宋体" w:hAnsi="宋体" w:hint="eastAsia"/>
          <w:color w:val="FF0000"/>
        </w:rPr>
        <w:t>]</w:t>
      </w:r>
      <w:r w:rsidRPr="005B1C9A">
        <w:rPr>
          <w:rFonts w:ascii="宋体" w:eastAsia="宋体" w:hAnsi="宋体"/>
          <w:color w:val="FF0000"/>
        </w:rPr>
        <w:t>:</w:t>
      </w:r>
    </w:p>
    <w:p w:rsidR="003114FF" w:rsidRPr="005B1C9A" w:rsidRDefault="003114FF" w:rsidP="003114FF">
      <w:pPr>
        <w:ind w:firstLine="420"/>
        <w:jc w:val="center"/>
        <w:rPr>
          <w:rFonts w:ascii="宋体" w:eastAsia="宋体" w:hAnsi="宋体"/>
          <w:color w:val="FF0000"/>
        </w:rPr>
      </w:pPr>
      <w:r w:rsidRPr="005B1C9A">
        <w:rPr>
          <w:noProof/>
          <w:color w:val="FF0000"/>
        </w:rPr>
        <w:drawing>
          <wp:inline distT="0" distB="0" distL="0" distR="0" wp14:anchorId="652A85E7" wp14:editId="3DB1FC22">
            <wp:extent cx="5274310" cy="1843405"/>
            <wp:effectExtent l="0" t="0" r="2540" b="4445"/>
            <wp:docPr id="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02B461C2-7325-4FE3-99CC-01E844140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02B461C2-7325-4FE3-99CC-01E844140B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5B1C9A">
        <w:rPr>
          <w:rFonts w:ascii="宋体" w:eastAsia="宋体" w:hAnsi="宋体" w:hint="eastAsia"/>
          <w:color w:val="FF0000"/>
        </w:rPr>
        <w:t>表[</w:t>
      </w:r>
      <w:r w:rsidRPr="005B1C9A">
        <w:rPr>
          <w:rFonts w:ascii="宋体" w:eastAsia="宋体" w:hAnsi="宋体"/>
          <w:color w:val="FF0000"/>
        </w:rPr>
        <w:t>1.</w:t>
      </w:r>
      <w:r w:rsidRPr="005B1C9A">
        <w:rPr>
          <w:rFonts w:ascii="宋体" w:eastAsia="宋体" w:hAnsi="宋体" w:hint="eastAsia"/>
          <w:color w:val="FF0000"/>
        </w:rPr>
        <w:t>5]</w:t>
      </w:r>
      <w:r w:rsidRPr="005B1C9A">
        <w:rPr>
          <w:rFonts w:ascii="宋体" w:eastAsia="宋体" w:hAnsi="宋体"/>
          <w:color w:val="FF0000"/>
        </w:rPr>
        <w:t>20</w:t>
      </w:r>
      <w:r w:rsidRPr="005B1C9A">
        <w:rPr>
          <w:rFonts w:ascii="宋体" w:eastAsia="宋体" w:hAnsi="宋体" w:hint="eastAsia"/>
          <w:color w:val="FF0000"/>
        </w:rPr>
        <w:t>10</w:t>
      </w:r>
      <w:r w:rsidRPr="005B1C9A">
        <w:rPr>
          <w:rFonts w:ascii="宋体" w:eastAsia="宋体" w:hAnsi="宋体"/>
          <w:color w:val="FF0000"/>
        </w:rPr>
        <w:t>-20</w:t>
      </w:r>
      <w:r w:rsidRPr="005B1C9A">
        <w:rPr>
          <w:rFonts w:ascii="宋体" w:eastAsia="宋体" w:hAnsi="宋体" w:hint="eastAsia"/>
          <w:color w:val="FF0000"/>
        </w:rPr>
        <w:t>16年分组加权回报率的描述性统计表</w:t>
      </w:r>
    </w:p>
    <w:p w:rsidR="00775604" w:rsidRPr="005B1C9A" w:rsidRDefault="00775604" w:rsidP="00FD76AD">
      <w:pPr>
        <w:ind w:firstLine="420"/>
        <w:jc w:val="left"/>
        <w:rPr>
          <w:rFonts w:ascii="宋体" w:eastAsia="宋体" w:hAnsi="宋体"/>
          <w:color w:val="FF0000"/>
        </w:rPr>
      </w:pPr>
    </w:p>
    <w:p w:rsidR="00775604" w:rsidRPr="005B1C9A" w:rsidRDefault="00775604" w:rsidP="00FD76AD">
      <w:pPr>
        <w:ind w:firstLine="420"/>
        <w:jc w:val="left"/>
        <w:rPr>
          <w:rFonts w:ascii="宋体" w:eastAsia="宋体" w:hAnsi="宋体"/>
          <w:color w:val="FF0000"/>
        </w:rPr>
      </w:pPr>
    </w:p>
    <w:p w:rsidR="00CC5082" w:rsidRPr="00CC5082" w:rsidRDefault="00CC5082" w:rsidP="007E1497">
      <w:pPr>
        <w:jc w:val="left"/>
        <w:rPr>
          <w:rFonts w:ascii="宋体" w:eastAsia="宋体" w:hAnsi="宋体"/>
        </w:rPr>
      </w:pPr>
    </w:p>
    <w:p w:rsidR="00237041" w:rsidRDefault="00237041" w:rsidP="0032304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323049">
        <w:rPr>
          <w:rFonts w:ascii="宋体" w:eastAsia="宋体" w:hAnsi="宋体" w:hint="eastAsia"/>
        </w:rPr>
        <w:t>单因子模型检验</w:t>
      </w:r>
    </w:p>
    <w:p w:rsidR="001E7FF9" w:rsidRPr="008B3269" w:rsidRDefault="008B3269" w:rsidP="008B3269">
      <w:pPr>
        <w:pStyle w:val="a3"/>
        <w:ind w:left="420" w:firstLineChars="0" w:firstLine="0"/>
        <w:rPr>
          <w:rStyle w:val="mi"/>
          <w:rFonts w:ascii="宋体" w:eastAsia="宋体" w:hAnsi="宋体"/>
        </w:rPr>
      </w:pPr>
      <w:r>
        <w:rPr>
          <w:rFonts w:ascii="宋体" w:eastAsia="宋体" w:hAnsi="宋体" w:hint="eastAsia"/>
        </w:rPr>
        <w:t>单因子模型即</w:t>
      </w:r>
      <w:r w:rsidRPr="008B3269">
        <w:rPr>
          <w:rFonts w:ascii="Times New Roman" w:eastAsia="宋体" w:hAnsi="Times New Roman" w:cs="Times New Roman"/>
        </w:rPr>
        <w:t>CAPM</w:t>
      </w:r>
      <w:r>
        <w:rPr>
          <w:rFonts w:ascii="宋体" w:eastAsia="宋体" w:hAnsi="宋体" w:hint="eastAsia"/>
        </w:rPr>
        <w:t>模型。</w:t>
      </w:r>
      <w:r w:rsidR="001E7FF9">
        <w:rPr>
          <w:rStyle w:val="mi"/>
          <w:rFonts w:ascii="Times New Roman" w:hAnsi="Times New Roman" w:cs="Times New Roman" w:hint="eastAsia"/>
          <w:iCs/>
          <w:color w:val="000000"/>
          <w:bdr w:val="none" w:sz="0" w:space="0" w:color="auto" w:frame="1"/>
        </w:rPr>
        <w:t>对于单因子模型进行检验：</w:t>
      </w:r>
    </w:p>
    <w:p w:rsidR="00237041" w:rsidRPr="00D4690F" w:rsidRDefault="00D4690F" w:rsidP="005063D2">
      <w:pPr>
        <w:wordWrap w:val="0"/>
        <w:jc w:val="right"/>
        <w:rPr>
          <w:rFonts w:ascii="Times New Roman" w:eastAsia="宋体" w:hAnsi="Times New Roman" w:cs="Times New Roman"/>
        </w:rPr>
      </w:pPr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</w:t>
      </w:r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)−</w:t>
      </w:r>
      <w:proofErr w:type="spellStart"/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</w:t>
      </w:r>
      <w:r w:rsidRPr="00D4690F">
        <w:rPr>
          <w:rStyle w:val="mi"/>
          <w:rFonts w:ascii="Times New Roman" w:hAnsi="Times New Roman" w:cs="Times New Roman"/>
          <w:i/>
          <w:iCs/>
          <w:color w:val="000000"/>
          <w:sz w:val="17"/>
          <w:szCs w:val="17"/>
          <w:bdr w:val="none" w:sz="0" w:space="0" w:color="auto" w:frame="1"/>
        </w:rPr>
        <w:t>f</w:t>
      </w:r>
      <w:proofErr w:type="spellEnd"/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)=</w:t>
      </w:r>
      <w:proofErr w:type="spellStart"/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a</w:t>
      </w:r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+</w:t>
      </w:r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b</w:t>
      </w:r>
      <w:proofErr w:type="spellEnd"/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</w:t>
      </w:r>
      <w:r w:rsidRPr="00D4690F">
        <w:rPr>
          <w:rStyle w:val="mi"/>
          <w:rFonts w:ascii="Times New Roman" w:hAnsi="Times New Roman" w:cs="Times New Roman"/>
          <w:i/>
          <w:iCs/>
          <w:color w:val="000000"/>
          <w:sz w:val="17"/>
          <w:szCs w:val="17"/>
          <w:bdr w:val="none" w:sz="0" w:space="0" w:color="auto" w:frame="1"/>
        </w:rPr>
        <w:t>M</w:t>
      </w:r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)−</w:t>
      </w:r>
      <w:proofErr w:type="spellStart"/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R</w:t>
      </w:r>
      <w:r w:rsidRPr="00D4690F">
        <w:rPr>
          <w:rStyle w:val="mi"/>
          <w:rFonts w:ascii="Times New Roman" w:hAnsi="Times New Roman" w:cs="Times New Roman"/>
          <w:i/>
          <w:iCs/>
          <w:color w:val="000000"/>
          <w:sz w:val="17"/>
          <w:szCs w:val="17"/>
          <w:bdr w:val="none" w:sz="0" w:space="0" w:color="auto" w:frame="1"/>
        </w:rPr>
        <w:t>f</w:t>
      </w:r>
      <w:proofErr w:type="spellEnd"/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proofErr w:type="gramStart"/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))+</w:t>
      </w:r>
      <w:proofErr w:type="gramEnd"/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e</w:t>
      </w:r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(</w:t>
      </w:r>
      <w:r w:rsidRPr="00D4690F">
        <w:rPr>
          <w:rStyle w:val="mi"/>
          <w:rFonts w:ascii="Times New Roman" w:hAnsi="Times New Roman" w:cs="Times New Roman"/>
          <w:i/>
          <w:iCs/>
          <w:color w:val="000000"/>
          <w:bdr w:val="none" w:sz="0" w:space="0" w:color="auto" w:frame="1"/>
        </w:rPr>
        <w:t>t</w:t>
      </w:r>
      <w:r w:rsidRPr="00D4690F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)</w:t>
      </w:r>
      <w:r w:rsidR="004E3E54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="004E3E54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  <w:t xml:space="preserve"> </w:t>
      </w:r>
      <w:r w:rsidR="005063D2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 </w:t>
      </w:r>
      <w:r w:rsidR="0084740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="0084740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="00727219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 xml:space="preserve">    </w:t>
      </w:r>
      <w:r w:rsidR="0084740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ab/>
      </w:r>
      <w:r w:rsidR="0084740C">
        <w:rPr>
          <w:rStyle w:val="mo"/>
          <w:rFonts w:ascii="Times New Roman" w:hAnsi="Times New Roman" w:cs="Times New Roman" w:hint="eastAsia"/>
          <w:color w:val="000000"/>
          <w:bdr w:val="none" w:sz="0" w:space="0" w:color="auto" w:frame="1"/>
        </w:rPr>
        <w:t>(</w:t>
      </w:r>
      <w:r w:rsidR="004E3E54">
        <w:rPr>
          <w:rStyle w:val="mo"/>
          <w:rFonts w:ascii="Times New Roman" w:hAnsi="Times New Roman" w:cs="Times New Roman" w:hint="eastAsia"/>
          <w:color w:val="000000"/>
          <w:bdr w:val="none" w:sz="0" w:space="0" w:color="auto" w:frame="1"/>
        </w:rPr>
        <w:t>2</w:t>
      </w:r>
      <w:r w:rsidR="0084740C">
        <w:rPr>
          <w:rStyle w:val="mo"/>
          <w:rFonts w:ascii="Times New Roman" w:hAnsi="Times New Roman" w:cs="Times New Roman"/>
          <w:color w:val="000000"/>
          <w:bdr w:val="none" w:sz="0" w:space="0" w:color="auto" w:frame="1"/>
        </w:rPr>
        <w:t>.1</w:t>
      </w:r>
      <w:r w:rsidR="0084740C">
        <w:rPr>
          <w:rStyle w:val="mo"/>
          <w:rFonts w:ascii="Times New Roman" w:hAnsi="Times New Roman" w:cs="Times New Roman" w:hint="eastAsia"/>
          <w:color w:val="000000"/>
          <w:bdr w:val="none" w:sz="0" w:space="0" w:color="auto" w:frame="1"/>
        </w:rPr>
        <w:t>)</w:t>
      </w:r>
    </w:p>
    <w:p w:rsidR="009B7113" w:rsidRPr="009B7113" w:rsidRDefault="00E72C9A" w:rsidP="00EA2A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</w:p>
    <w:p w:rsidR="009B7113" w:rsidRPr="009B7113" w:rsidRDefault="00EA2ADA" w:rsidP="009B7113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1B72258" wp14:editId="7BE9CDD8">
            <wp:extent cx="5274310" cy="2487295"/>
            <wp:effectExtent l="0" t="0" r="2540" b="8255"/>
            <wp:docPr id="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A20D87E-3991-461D-97C2-9D1CC7004D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A20D87E-3991-461D-97C2-9D1CC7004DD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63F2D" w:rsidRDefault="0084740C" w:rsidP="00F35A61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将</w:t>
      </w:r>
      <w:r w:rsidR="000B317D">
        <w:rPr>
          <w:rFonts w:ascii="宋体" w:eastAsia="宋体" w:hAnsi="宋体" w:hint="eastAsia"/>
        </w:rPr>
        <w:t>式(</w:t>
      </w:r>
      <w:r w:rsidR="000B317D">
        <w:rPr>
          <w:rFonts w:ascii="宋体" w:eastAsia="宋体" w:hAnsi="宋体"/>
        </w:rPr>
        <w:t>1.1</w:t>
      </w:r>
      <w:r w:rsidR="000B317D">
        <w:rPr>
          <w:rFonts w:ascii="宋体" w:eastAsia="宋体" w:hAnsi="宋体" w:hint="eastAsia"/>
        </w:rPr>
        <w:t>)进行异方差稳健的OLS回归。统计量披露</w:t>
      </w:r>
      <w:r w:rsidR="00C8744B">
        <w:rPr>
          <w:rFonts w:ascii="宋体" w:eastAsia="宋体" w:hAnsi="宋体" w:hint="eastAsia"/>
        </w:rPr>
        <w:t>采取和</w:t>
      </w:r>
      <w:proofErr w:type="spellStart"/>
      <w:r w:rsidR="00C8744B">
        <w:rPr>
          <w:rFonts w:ascii="宋体" w:eastAsia="宋体" w:hAnsi="宋体" w:hint="eastAsia"/>
        </w:rPr>
        <w:t>Fama</w:t>
      </w:r>
      <w:proofErr w:type="spellEnd"/>
      <w:r w:rsidR="00C8744B">
        <w:rPr>
          <w:rFonts w:ascii="宋体" w:eastAsia="宋体" w:hAnsi="宋体" w:hint="eastAsia"/>
        </w:rPr>
        <w:t>（1996）一文中</w:t>
      </w:r>
      <w:r w:rsidR="00A22B05">
        <w:rPr>
          <w:rFonts w:ascii="宋体" w:eastAsia="宋体" w:hAnsi="宋体" w:hint="eastAsia"/>
        </w:rPr>
        <w:t>对于三因子模型</w:t>
      </w:r>
      <w:r w:rsidR="00C8744B">
        <w:rPr>
          <w:rFonts w:ascii="宋体" w:eastAsia="宋体" w:hAnsi="宋体" w:hint="eastAsia"/>
        </w:rPr>
        <w:t>相同的数据披露表述。</w:t>
      </w:r>
    </w:p>
    <w:p w:rsidR="00655F16" w:rsidRDefault="00655F16" w:rsidP="00323049">
      <w:pPr>
        <w:rPr>
          <w:rFonts w:ascii="宋体" w:eastAsia="宋体" w:hAnsi="宋体"/>
        </w:rPr>
      </w:pPr>
    </w:p>
    <w:p w:rsidR="00237041" w:rsidRDefault="00237041" w:rsidP="00575DF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575DF9">
        <w:rPr>
          <w:rFonts w:ascii="宋体" w:eastAsia="宋体" w:hAnsi="宋体" w:hint="eastAsia"/>
        </w:rPr>
        <w:t>双因子模型检验</w:t>
      </w:r>
    </w:p>
    <w:p w:rsidR="00575DF9" w:rsidRPr="00575DF9" w:rsidRDefault="00575DF9" w:rsidP="00575DF9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对市值因子和账面价值比因子进行处理。</w:t>
      </w:r>
    </w:p>
    <w:p w:rsidR="00575DF9" w:rsidRPr="00575DF9" w:rsidRDefault="00575DF9" w:rsidP="00327EB5">
      <w:pPr>
        <w:pStyle w:val="a3"/>
        <w:ind w:left="420" w:firstLineChars="0" w:firstLine="0"/>
        <w:jc w:val="center"/>
        <w:rPr>
          <w:rFonts w:ascii="宋体" w:eastAsia="宋体" w:hAnsi="宋体" w:hint="eastAsia"/>
        </w:rPr>
      </w:pP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R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)−</w:t>
      </w:r>
      <w:proofErr w:type="spellStart"/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R</w:t>
      </w:r>
      <w:r>
        <w:rPr>
          <w:rStyle w:val="mi"/>
          <w:rFonts w:ascii="MathJax_Math" w:hAnsi="MathJax_Math"/>
          <w:i/>
          <w:iCs/>
          <w:color w:val="000000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)=</w:t>
      </w:r>
      <w:proofErr w:type="spellStart"/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+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sSMB</w:t>
      </w:r>
      <w:proofErr w:type="spellEnd"/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)+</w:t>
      </w:r>
      <w:proofErr w:type="spellStart"/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hHML</w:t>
      </w:r>
      <w:proofErr w:type="spellEnd"/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)+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</w:t>
      </w:r>
    </w:p>
    <w:p w:rsidR="00237041" w:rsidRPr="00A474E7" w:rsidRDefault="00AC6F16" w:rsidP="00237041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4EAB61B" wp14:editId="0F857830">
            <wp:extent cx="5274310" cy="3314700"/>
            <wp:effectExtent l="0" t="0" r="254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DA888734-761F-4470-B549-56EEEE7AEB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A888734-761F-4470-B549-56EEEE7AEB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37041" w:rsidRPr="00A474E7" w:rsidRDefault="00237041" w:rsidP="00237041">
      <w:pPr>
        <w:rPr>
          <w:rFonts w:ascii="宋体" w:eastAsia="宋体" w:hAnsi="宋体"/>
        </w:rPr>
      </w:pPr>
    </w:p>
    <w:p w:rsidR="00237041" w:rsidRPr="00323049" w:rsidRDefault="00323049" w:rsidP="003230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四．</w:t>
      </w:r>
      <w:r w:rsidR="00237041" w:rsidRPr="00323049">
        <w:rPr>
          <w:rFonts w:ascii="宋体" w:eastAsia="宋体" w:hAnsi="宋体" w:hint="eastAsia"/>
        </w:rPr>
        <w:t>三因子模型检验</w:t>
      </w:r>
    </w:p>
    <w:p w:rsidR="00237041" w:rsidRPr="00A474E7" w:rsidRDefault="0094051B" w:rsidP="0023704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</w:t>
      </w:r>
      <w:proofErr w:type="spellStart"/>
      <w:r>
        <w:rPr>
          <w:rFonts w:ascii="宋体" w:eastAsia="宋体" w:hAnsi="宋体" w:hint="eastAsia"/>
        </w:rPr>
        <w:t>Fama</w:t>
      </w:r>
      <w:proofErr w:type="spellEnd"/>
      <w:r>
        <w:rPr>
          <w:rFonts w:ascii="宋体" w:eastAsia="宋体" w:hAnsi="宋体" w:hint="eastAsia"/>
        </w:rPr>
        <w:t>——</w:t>
      </w:r>
      <w:r>
        <w:rPr>
          <w:rFonts w:ascii="宋体" w:eastAsia="宋体" w:hAnsi="宋体"/>
        </w:rPr>
        <w:t>French</w:t>
      </w:r>
      <w:r>
        <w:rPr>
          <w:rFonts w:ascii="宋体" w:eastAsia="宋体" w:hAnsi="宋体" w:hint="eastAsia"/>
        </w:rPr>
        <w:t>三因子模型进行处理。</w:t>
      </w:r>
    </w:p>
    <w:p w:rsidR="00237041" w:rsidRDefault="0094051B" w:rsidP="00887CE2">
      <w:pPr>
        <w:jc w:val="center"/>
        <w:rPr>
          <w:rStyle w:val="mo"/>
          <w:rFonts w:ascii="MathJax_Main" w:hAnsi="MathJax_Main"/>
          <w:color w:val="000000"/>
          <w:bdr w:val="none" w:sz="0" w:space="0" w:color="auto" w:frame="1"/>
        </w:rPr>
      </w:pP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R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)−</w:t>
      </w:r>
      <w:proofErr w:type="spellStart"/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R</w:t>
      </w:r>
      <w:r>
        <w:rPr>
          <w:rStyle w:val="mi"/>
          <w:rFonts w:ascii="MathJax_Math" w:hAnsi="MathJax_Math"/>
          <w:i/>
          <w:iCs/>
          <w:color w:val="000000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)=</w:t>
      </w:r>
      <w:proofErr w:type="spellStart"/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a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+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b</w:t>
      </w:r>
      <w:proofErr w:type="spellEnd"/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R</w:t>
      </w:r>
      <w:r>
        <w:rPr>
          <w:rStyle w:val="mi"/>
          <w:rFonts w:ascii="MathJax_Math" w:hAnsi="MathJax_Math"/>
          <w:i/>
          <w:iCs/>
          <w:color w:val="000000"/>
          <w:sz w:val="17"/>
          <w:szCs w:val="17"/>
          <w:bdr w:val="none" w:sz="0" w:space="0" w:color="auto" w:frame="1"/>
        </w:rPr>
        <w:t>M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)−</w:t>
      </w:r>
      <w:proofErr w:type="spellStart"/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R</w:t>
      </w:r>
      <w:r>
        <w:rPr>
          <w:rStyle w:val="mi"/>
          <w:rFonts w:ascii="MathJax_Math" w:hAnsi="MathJax_Math"/>
          <w:i/>
          <w:iCs/>
          <w:color w:val="000000"/>
          <w:sz w:val="17"/>
          <w:szCs w:val="17"/>
          <w:bdr w:val="none" w:sz="0" w:space="0" w:color="auto" w:frame="1"/>
        </w:rPr>
        <w:t>f</w:t>
      </w:r>
      <w:proofErr w:type="spellEnd"/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proofErr w:type="gramStart"/>
      <w:r>
        <w:rPr>
          <w:rStyle w:val="mo"/>
          <w:rFonts w:ascii="MathJax_Main" w:hAnsi="MathJax_Main"/>
          <w:color w:val="000000"/>
          <w:bdr w:val="none" w:sz="0" w:space="0" w:color="auto" w:frame="1"/>
        </w:rPr>
        <w:t>))+</w:t>
      </w:r>
      <w:proofErr w:type="spellStart"/>
      <w:proofErr w:type="gramEnd"/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sSMB</w:t>
      </w:r>
      <w:proofErr w:type="spellEnd"/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)+</w:t>
      </w:r>
      <w:proofErr w:type="spellStart"/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hHML</w:t>
      </w:r>
      <w:proofErr w:type="spellEnd"/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)+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(</w:t>
      </w:r>
      <w:r>
        <w:rPr>
          <w:rStyle w:val="mi"/>
          <w:rFonts w:ascii="MathJax_Math" w:hAnsi="MathJax_Math"/>
          <w:i/>
          <w:iCs/>
          <w:color w:val="000000"/>
          <w:bdr w:val="none" w:sz="0" w:space="0" w:color="auto" w:frame="1"/>
        </w:rPr>
        <w:t>t</w:t>
      </w:r>
      <w:r>
        <w:rPr>
          <w:rStyle w:val="mo"/>
          <w:rFonts w:ascii="MathJax_Main" w:hAnsi="MathJax_Main"/>
          <w:color w:val="000000"/>
          <w:bdr w:val="none" w:sz="0" w:space="0" w:color="auto" w:frame="1"/>
        </w:rPr>
        <w:t>)</w:t>
      </w:r>
    </w:p>
    <w:p w:rsidR="00887CE2" w:rsidRDefault="00887CE2" w:rsidP="00887CE2">
      <w:pPr>
        <w:jc w:val="center"/>
        <w:rPr>
          <w:rStyle w:val="mo"/>
          <w:rFonts w:ascii="MathJax_Main" w:hAnsi="MathJax_Main"/>
          <w:color w:val="000000"/>
          <w:bdr w:val="none" w:sz="0" w:space="0" w:color="auto" w:frame="1"/>
        </w:rPr>
      </w:pPr>
    </w:p>
    <w:p w:rsidR="00887CE2" w:rsidRDefault="007C5E27" w:rsidP="00887CE2">
      <w:pPr>
        <w:jc w:val="center"/>
        <w:rPr>
          <w:rStyle w:val="mo"/>
          <w:rFonts w:ascii="MathJax_Main" w:hAnsi="MathJax_Main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C2716A1" wp14:editId="01686241">
            <wp:extent cx="5274310" cy="4142740"/>
            <wp:effectExtent l="0" t="0" r="2540" b="0"/>
            <wp:docPr id="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D236111-F889-4969-9C10-1D8A8E1419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ED236111-F889-4969-9C10-1D8A8E1419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7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87CE2" w:rsidRPr="00A474E7" w:rsidRDefault="00887CE2" w:rsidP="00887CE2">
      <w:pPr>
        <w:jc w:val="center"/>
        <w:rPr>
          <w:rFonts w:ascii="宋体" w:eastAsia="宋体" w:hAnsi="宋体"/>
        </w:rPr>
      </w:pPr>
    </w:p>
    <w:p w:rsidR="00237041" w:rsidRPr="00323049" w:rsidRDefault="00323049" w:rsidP="003230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五．</w:t>
      </w:r>
      <w:r w:rsidR="00237041" w:rsidRPr="00323049">
        <w:rPr>
          <w:rFonts w:ascii="宋体" w:eastAsia="宋体" w:hAnsi="宋体" w:hint="eastAsia"/>
        </w:rPr>
        <w:t>结论</w:t>
      </w:r>
    </w:p>
    <w:p w:rsidR="00F428FF" w:rsidRDefault="00366AA2" w:rsidP="00F428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r w:rsidR="00010152">
        <w:rPr>
          <w:rFonts w:ascii="宋体" w:eastAsia="宋体" w:hAnsi="宋体" w:hint="eastAsia"/>
        </w:rPr>
        <w:t>CAPM</w:t>
      </w:r>
      <w:r>
        <w:rPr>
          <w:rFonts w:ascii="宋体" w:eastAsia="宋体" w:hAnsi="宋体" w:hint="eastAsia"/>
        </w:rPr>
        <w:t>模型总体来看</w:t>
      </w:r>
      <w:r w:rsidR="00A77478">
        <w:rPr>
          <w:rFonts w:ascii="宋体" w:eastAsia="宋体" w:hAnsi="宋体" w:hint="eastAsia"/>
        </w:rPr>
        <w:t>基本可以在0.01情况下拒绝原假设（|t</w:t>
      </w:r>
      <w:r w:rsidR="00A77478">
        <w:rPr>
          <w:rFonts w:ascii="宋体" w:eastAsia="宋体" w:hAnsi="宋体"/>
        </w:rPr>
        <w:t>|&gt;2.58,</w:t>
      </w:r>
      <w:r w:rsidR="00A77478">
        <w:rPr>
          <w:rFonts w:ascii="宋体" w:eastAsia="宋体" w:hAnsi="宋体" w:hint="eastAsia"/>
        </w:rPr>
        <w:t>双边检验）。R</w:t>
      </w:r>
      <w:r w:rsidR="00A77478">
        <w:rPr>
          <w:rFonts w:ascii="宋体" w:eastAsia="宋体" w:hAnsi="宋体"/>
        </w:rPr>
        <w:t>-square</w:t>
      </w:r>
      <w:r w:rsidR="00A77478">
        <w:rPr>
          <w:rFonts w:ascii="宋体" w:eastAsia="宋体" w:hAnsi="宋体" w:hint="eastAsia"/>
        </w:rPr>
        <w:t>基本</w:t>
      </w:r>
      <w:r w:rsidR="00A77478">
        <w:rPr>
          <w:rFonts w:ascii="宋体" w:eastAsia="宋体" w:hAnsi="宋体" w:hint="eastAsia"/>
        </w:rPr>
        <w:t>在0.4</w:t>
      </w:r>
      <w:r w:rsidR="00A77478">
        <w:rPr>
          <w:rFonts w:ascii="宋体" w:eastAsia="宋体" w:hAnsi="宋体" w:hint="eastAsia"/>
        </w:rPr>
        <w:t>左右，可以较好解释中国上</w:t>
      </w:r>
      <w:proofErr w:type="gramStart"/>
      <w:r w:rsidR="00A77478">
        <w:rPr>
          <w:rFonts w:ascii="宋体" w:eastAsia="宋体" w:hAnsi="宋体" w:hint="eastAsia"/>
        </w:rPr>
        <w:t>证股市</w:t>
      </w:r>
      <w:proofErr w:type="gramEnd"/>
      <w:r w:rsidR="00A77478">
        <w:rPr>
          <w:rFonts w:ascii="宋体" w:eastAsia="宋体" w:hAnsi="宋体" w:hint="eastAsia"/>
        </w:rPr>
        <w:t>的风险溢价。但应该还存在未能被纳入解释变量的其他因子。</w:t>
      </w:r>
    </w:p>
    <w:p w:rsidR="00366AA2" w:rsidRDefault="00366AA2" w:rsidP="00F428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双因子模型总体来看并无太多解释力度。</w:t>
      </w:r>
    </w:p>
    <w:p w:rsidR="00366AA2" w:rsidRPr="00A474E7" w:rsidRDefault="00366AA2" w:rsidP="00F428F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Fama</w:t>
      </w:r>
      <w:proofErr w:type="spellEnd"/>
      <w:r>
        <w:rPr>
          <w:rFonts w:ascii="宋体" w:eastAsia="宋体" w:hAnsi="宋体"/>
        </w:rPr>
        <w:t>-French</w:t>
      </w:r>
      <w:r>
        <w:rPr>
          <w:rFonts w:ascii="宋体" w:eastAsia="宋体" w:hAnsi="宋体" w:hint="eastAsia"/>
        </w:rPr>
        <w:t>三因子模型基本可以</w:t>
      </w:r>
      <w:r w:rsidR="00661EA7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0.01情况下拒绝原假设</w:t>
      </w:r>
      <w:r w:rsidR="00D80CA0">
        <w:rPr>
          <w:rFonts w:ascii="宋体" w:eastAsia="宋体" w:hAnsi="宋体" w:hint="eastAsia"/>
        </w:rPr>
        <w:t>（|t</w:t>
      </w:r>
      <w:r w:rsidR="00D80CA0">
        <w:rPr>
          <w:rFonts w:ascii="宋体" w:eastAsia="宋体" w:hAnsi="宋体"/>
        </w:rPr>
        <w:t>|&gt;2.58,</w:t>
      </w:r>
      <w:r w:rsidR="00D80CA0">
        <w:rPr>
          <w:rFonts w:ascii="宋体" w:eastAsia="宋体" w:hAnsi="宋体" w:hint="eastAsia"/>
        </w:rPr>
        <w:t>双边检验）</w:t>
      </w:r>
      <w:r>
        <w:rPr>
          <w:rFonts w:ascii="宋体" w:eastAsia="宋体" w:hAnsi="宋体" w:hint="eastAsia"/>
        </w:rPr>
        <w:t>。R</w:t>
      </w:r>
      <w:r>
        <w:rPr>
          <w:rFonts w:ascii="宋体" w:eastAsia="宋体" w:hAnsi="宋体"/>
        </w:rPr>
        <w:t>-square</w:t>
      </w:r>
      <w:r>
        <w:rPr>
          <w:rFonts w:ascii="宋体" w:eastAsia="宋体" w:hAnsi="宋体" w:hint="eastAsia"/>
        </w:rPr>
        <w:t>基本</w:t>
      </w:r>
      <w:r w:rsidR="00D55AB0">
        <w:rPr>
          <w:rFonts w:ascii="宋体" w:eastAsia="宋体" w:hAnsi="宋体" w:hint="eastAsia"/>
        </w:rPr>
        <w:t>在0.45</w:t>
      </w:r>
      <w:r>
        <w:rPr>
          <w:rFonts w:ascii="宋体" w:eastAsia="宋体" w:hAnsi="宋体" w:hint="eastAsia"/>
        </w:rPr>
        <w:t>左右，</w:t>
      </w:r>
      <w:r w:rsidR="00D55AB0">
        <w:rPr>
          <w:rFonts w:ascii="宋体" w:eastAsia="宋体" w:hAnsi="宋体" w:hint="eastAsia"/>
        </w:rPr>
        <w:t>可以一定程度上</w:t>
      </w:r>
      <w:r>
        <w:rPr>
          <w:rFonts w:ascii="宋体" w:eastAsia="宋体" w:hAnsi="宋体" w:hint="eastAsia"/>
        </w:rPr>
        <w:t>解释中国上</w:t>
      </w:r>
      <w:proofErr w:type="gramStart"/>
      <w:r>
        <w:rPr>
          <w:rFonts w:ascii="宋体" w:eastAsia="宋体" w:hAnsi="宋体" w:hint="eastAsia"/>
        </w:rPr>
        <w:t>证股市</w:t>
      </w:r>
      <w:proofErr w:type="gramEnd"/>
      <w:r>
        <w:rPr>
          <w:rFonts w:ascii="宋体" w:eastAsia="宋体" w:hAnsi="宋体" w:hint="eastAsia"/>
        </w:rPr>
        <w:t>的风险溢价。</w:t>
      </w:r>
      <w:r w:rsidR="00D36F3B">
        <w:rPr>
          <w:rFonts w:ascii="宋体" w:eastAsia="宋体" w:hAnsi="宋体" w:hint="eastAsia"/>
        </w:rPr>
        <w:t>但应该还存在未能被纳入解释变量的</w:t>
      </w:r>
      <w:r w:rsidR="004536E0">
        <w:rPr>
          <w:rFonts w:ascii="宋体" w:eastAsia="宋体" w:hAnsi="宋体" w:hint="eastAsia"/>
        </w:rPr>
        <w:t>其他因子</w:t>
      </w:r>
      <w:r w:rsidR="00D36F3B">
        <w:rPr>
          <w:rFonts w:ascii="宋体" w:eastAsia="宋体" w:hAnsi="宋体" w:hint="eastAsia"/>
        </w:rPr>
        <w:t>。</w:t>
      </w:r>
    </w:p>
    <w:p w:rsidR="00F428FF" w:rsidRPr="00A474E7" w:rsidRDefault="00A77478" w:rsidP="00F428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比对</w:t>
      </w:r>
      <w:r w:rsidR="00010152">
        <w:rPr>
          <w:rFonts w:ascii="宋体" w:eastAsia="宋体" w:hAnsi="宋体" w:hint="eastAsia"/>
        </w:rPr>
        <w:t>三因子模型和CAPM模型，在上</w:t>
      </w:r>
      <w:proofErr w:type="gramStart"/>
      <w:r w:rsidR="00010152">
        <w:rPr>
          <w:rFonts w:ascii="宋体" w:eastAsia="宋体" w:hAnsi="宋体" w:hint="eastAsia"/>
        </w:rPr>
        <w:t>证股市</w:t>
      </w:r>
      <w:proofErr w:type="gramEnd"/>
      <w:r w:rsidR="00010152">
        <w:rPr>
          <w:rFonts w:ascii="宋体" w:eastAsia="宋体" w:hAnsi="宋体" w:hint="eastAsia"/>
        </w:rPr>
        <w:t>中，R-</w:t>
      </w:r>
      <w:r w:rsidR="00010152">
        <w:rPr>
          <w:rFonts w:ascii="宋体" w:eastAsia="宋体" w:hAnsi="宋体"/>
        </w:rPr>
        <w:t>square</w:t>
      </w:r>
      <w:r w:rsidR="00010152">
        <w:rPr>
          <w:rFonts w:ascii="宋体" w:eastAsia="宋体" w:hAnsi="宋体" w:hint="eastAsia"/>
        </w:rPr>
        <w:t>并无</w:t>
      </w:r>
      <w:r w:rsidR="005F6FAF">
        <w:rPr>
          <w:rFonts w:ascii="宋体" w:eastAsia="宋体" w:hAnsi="宋体" w:hint="eastAsia"/>
        </w:rPr>
        <w:t>在三因子模型中</w:t>
      </w:r>
      <w:r w:rsidR="00010152">
        <w:rPr>
          <w:rFonts w:ascii="宋体" w:eastAsia="宋体" w:hAnsi="宋体" w:hint="eastAsia"/>
        </w:rPr>
        <w:t>显著提升。</w:t>
      </w:r>
      <w:r w:rsidR="005F6FAF">
        <w:rPr>
          <w:rFonts w:ascii="宋体" w:eastAsia="宋体" w:hAnsi="宋体" w:hint="eastAsia"/>
        </w:rPr>
        <w:t>这意味着</w:t>
      </w:r>
      <w:r w:rsidR="00A863EB">
        <w:rPr>
          <w:rFonts w:ascii="宋体" w:eastAsia="宋体" w:hAnsi="宋体" w:hint="eastAsia"/>
        </w:rPr>
        <w:t>市值因子和账面价值比因子的解释力度不够强。</w:t>
      </w:r>
      <w:bookmarkStart w:id="0" w:name="_GoBack"/>
      <w:bookmarkEnd w:id="0"/>
    </w:p>
    <w:p w:rsidR="00F428FF" w:rsidRPr="00A474E7" w:rsidRDefault="00F428FF" w:rsidP="00F428FF">
      <w:pPr>
        <w:rPr>
          <w:rFonts w:ascii="宋体" w:eastAsia="宋体" w:hAnsi="宋体"/>
        </w:rPr>
      </w:pPr>
    </w:p>
    <w:p w:rsidR="00F428FF" w:rsidRPr="00A474E7" w:rsidRDefault="00F428FF" w:rsidP="00F428FF">
      <w:pPr>
        <w:rPr>
          <w:rFonts w:ascii="宋体" w:eastAsia="宋体" w:hAnsi="宋体"/>
        </w:rPr>
      </w:pPr>
    </w:p>
    <w:p w:rsidR="00F428FF" w:rsidRPr="00A474E7" w:rsidRDefault="00F428FF" w:rsidP="00F428FF">
      <w:pPr>
        <w:rPr>
          <w:rFonts w:ascii="宋体" w:eastAsia="宋体" w:hAnsi="宋体"/>
        </w:rPr>
      </w:pPr>
    </w:p>
    <w:p w:rsidR="00F428FF" w:rsidRPr="00A474E7" w:rsidRDefault="00F428FF" w:rsidP="00F428FF">
      <w:pPr>
        <w:rPr>
          <w:rFonts w:ascii="宋体" w:eastAsia="宋体" w:hAnsi="宋体"/>
        </w:rPr>
      </w:pPr>
    </w:p>
    <w:p w:rsidR="00F428FF" w:rsidRPr="00A474E7" w:rsidRDefault="00F428FF" w:rsidP="00F428FF">
      <w:pPr>
        <w:rPr>
          <w:rFonts w:ascii="宋体" w:eastAsia="宋体" w:hAnsi="宋体"/>
        </w:rPr>
      </w:pPr>
    </w:p>
    <w:p w:rsidR="00F428FF" w:rsidRPr="00A474E7" w:rsidRDefault="00F428FF" w:rsidP="00F428FF">
      <w:pPr>
        <w:rPr>
          <w:rFonts w:ascii="宋体" w:eastAsia="宋体" w:hAnsi="宋体"/>
        </w:rPr>
      </w:pPr>
    </w:p>
    <w:p w:rsidR="00F428FF" w:rsidRPr="00A474E7" w:rsidRDefault="00F428FF" w:rsidP="00F428FF">
      <w:pPr>
        <w:rPr>
          <w:rFonts w:ascii="宋体" w:eastAsia="宋体" w:hAnsi="宋体"/>
        </w:rPr>
      </w:pPr>
    </w:p>
    <w:p w:rsidR="00F428FF" w:rsidRPr="00A474E7" w:rsidRDefault="00F428FF" w:rsidP="00F428FF">
      <w:pPr>
        <w:rPr>
          <w:rFonts w:ascii="宋体" w:eastAsia="宋体" w:hAnsi="宋体"/>
        </w:rPr>
      </w:pPr>
    </w:p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p w:rsidR="00F428FF" w:rsidRDefault="00F428FF" w:rsidP="00F428FF"/>
    <w:sectPr w:rsidR="00F4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573C"/>
    <w:multiLevelType w:val="hybridMultilevel"/>
    <w:tmpl w:val="12D26EA4"/>
    <w:lvl w:ilvl="0" w:tplc="20B084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B5942"/>
    <w:multiLevelType w:val="hybridMultilevel"/>
    <w:tmpl w:val="56B494AA"/>
    <w:lvl w:ilvl="0" w:tplc="E8F836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B74386"/>
    <w:multiLevelType w:val="hybridMultilevel"/>
    <w:tmpl w:val="5EDA3618"/>
    <w:lvl w:ilvl="0" w:tplc="20B084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022CD"/>
    <w:multiLevelType w:val="hybridMultilevel"/>
    <w:tmpl w:val="89C0129A"/>
    <w:lvl w:ilvl="0" w:tplc="20B084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D204D"/>
    <w:multiLevelType w:val="hybridMultilevel"/>
    <w:tmpl w:val="A2D44E1C"/>
    <w:lvl w:ilvl="0" w:tplc="D51AD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20"/>
    <w:rsid w:val="00010152"/>
    <w:rsid w:val="00061EEB"/>
    <w:rsid w:val="000B317D"/>
    <w:rsid w:val="000C5A2A"/>
    <w:rsid w:val="00107816"/>
    <w:rsid w:val="00147548"/>
    <w:rsid w:val="00160637"/>
    <w:rsid w:val="00163F2D"/>
    <w:rsid w:val="0016576B"/>
    <w:rsid w:val="00187959"/>
    <w:rsid w:val="001E7FF9"/>
    <w:rsid w:val="00237041"/>
    <w:rsid w:val="002A2217"/>
    <w:rsid w:val="003114FF"/>
    <w:rsid w:val="00320FBA"/>
    <w:rsid w:val="00323049"/>
    <w:rsid w:val="00327EB5"/>
    <w:rsid w:val="00342B9F"/>
    <w:rsid w:val="00366AA2"/>
    <w:rsid w:val="003A17C4"/>
    <w:rsid w:val="004536E0"/>
    <w:rsid w:val="004B6EEA"/>
    <w:rsid w:val="004E3E54"/>
    <w:rsid w:val="005063D2"/>
    <w:rsid w:val="00507A8E"/>
    <w:rsid w:val="00572590"/>
    <w:rsid w:val="00575DF9"/>
    <w:rsid w:val="00581CC1"/>
    <w:rsid w:val="0058485C"/>
    <w:rsid w:val="005B1C9A"/>
    <w:rsid w:val="005F6FAF"/>
    <w:rsid w:val="005F758C"/>
    <w:rsid w:val="00640958"/>
    <w:rsid w:val="00655F16"/>
    <w:rsid w:val="00661EA7"/>
    <w:rsid w:val="006628B2"/>
    <w:rsid w:val="00696AB0"/>
    <w:rsid w:val="00724C61"/>
    <w:rsid w:val="00727219"/>
    <w:rsid w:val="00745343"/>
    <w:rsid w:val="00772955"/>
    <w:rsid w:val="00774976"/>
    <w:rsid w:val="00775604"/>
    <w:rsid w:val="007A5744"/>
    <w:rsid w:val="007C5E27"/>
    <w:rsid w:val="007E1497"/>
    <w:rsid w:val="0081165C"/>
    <w:rsid w:val="0084740C"/>
    <w:rsid w:val="00861CA0"/>
    <w:rsid w:val="00887CE2"/>
    <w:rsid w:val="008A1EF2"/>
    <w:rsid w:val="008B3269"/>
    <w:rsid w:val="008C6F4F"/>
    <w:rsid w:val="009311D7"/>
    <w:rsid w:val="0094051B"/>
    <w:rsid w:val="0098022E"/>
    <w:rsid w:val="009B7113"/>
    <w:rsid w:val="009F12EA"/>
    <w:rsid w:val="00A22B05"/>
    <w:rsid w:val="00A337E3"/>
    <w:rsid w:val="00A474E7"/>
    <w:rsid w:val="00A671E8"/>
    <w:rsid w:val="00A77478"/>
    <w:rsid w:val="00A863EB"/>
    <w:rsid w:val="00AB0D78"/>
    <w:rsid w:val="00AC6F16"/>
    <w:rsid w:val="00AF3B59"/>
    <w:rsid w:val="00B52473"/>
    <w:rsid w:val="00B65503"/>
    <w:rsid w:val="00C8744B"/>
    <w:rsid w:val="00CA1224"/>
    <w:rsid w:val="00CB0133"/>
    <w:rsid w:val="00CB0320"/>
    <w:rsid w:val="00CC5082"/>
    <w:rsid w:val="00CE1B24"/>
    <w:rsid w:val="00D038FC"/>
    <w:rsid w:val="00D2686D"/>
    <w:rsid w:val="00D36F3B"/>
    <w:rsid w:val="00D46133"/>
    <w:rsid w:val="00D4690F"/>
    <w:rsid w:val="00D55AB0"/>
    <w:rsid w:val="00D80CA0"/>
    <w:rsid w:val="00DF00A1"/>
    <w:rsid w:val="00E00BA7"/>
    <w:rsid w:val="00E5304E"/>
    <w:rsid w:val="00E72C9A"/>
    <w:rsid w:val="00E73B61"/>
    <w:rsid w:val="00EA2ADA"/>
    <w:rsid w:val="00F06E41"/>
    <w:rsid w:val="00F14327"/>
    <w:rsid w:val="00F35A61"/>
    <w:rsid w:val="00F35C35"/>
    <w:rsid w:val="00F428FF"/>
    <w:rsid w:val="00F72F4C"/>
    <w:rsid w:val="00FA6AFE"/>
    <w:rsid w:val="00F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6161"/>
  <w15:chartTrackingRefBased/>
  <w15:docId w15:val="{0C71A492-A477-409F-8223-94DBC504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041"/>
    <w:pPr>
      <w:ind w:firstLineChars="200" w:firstLine="420"/>
    </w:pPr>
  </w:style>
  <w:style w:type="character" w:customStyle="1" w:styleId="mi">
    <w:name w:val="mi"/>
    <w:basedOn w:val="a0"/>
    <w:rsid w:val="00D4690F"/>
  </w:style>
  <w:style w:type="character" w:customStyle="1" w:styleId="mo">
    <w:name w:val="mo"/>
    <w:basedOn w:val="a0"/>
    <w:rsid w:val="00D4690F"/>
  </w:style>
  <w:style w:type="character" w:styleId="a4">
    <w:name w:val="Placeholder Text"/>
    <w:basedOn w:val="a0"/>
    <w:uiPriority w:val="99"/>
    <w:semiHidden/>
    <w:rsid w:val="009B71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83</cp:revision>
  <dcterms:created xsi:type="dcterms:W3CDTF">2018-05-11T07:42:00Z</dcterms:created>
  <dcterms:modified xsi:type="dcterms:W3CDTF">2018-05-11T11:41:00Z</dcterms:modified>
</cp:coreProperties>
</file>