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FINC 310 Grading Rubric</w:t>
      </w:r>
    </w:p>
    <w:p>
      <w:pPr>
        <w:jc w:val="center"/>
      </w:pPr>
      <w:r>
        <w:rPr>
          <w:i/>
          <w:color w:val="1F4E78"/>
          <w:sz w:val="24"/>
        </w:rPr>
        <w:t>Procter &amp; Gamble Financial Story Dashboard | 100 Points</w:t>
      </w:r>
    </w:p>
    <w:p/>
    <w:p>
      <w:r>
        <w:t>Use this analytic rubric for the group submission. The professor may reduce an individual student's score if that student cannot explain the team's code, formulas, or financial conclusions.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94"/>
        <w:gridCol w:w="1694"/>
        <w:gridCol w:w="1694"/>
        <w:gridCol w:w="1694"/>
        <w:gridCol w:w="1694"/>
        <w:gridCol w:w="1694"/>
      </w:tblGrid>
      <w:tr>
        <w:trPr>
          <w:tblHeader w:val="true"/>
          <w:cantSplit/>
        </w:trPr>
        <w:tc>
          <w:tcPr>
            <w:tcW w:type="dxa" w:w="1872"/>
            <w:shd w:fill="17365D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Criterion</w:t>
            </w:r>
          </w:p>
        </w:tc>
        <w:tc>
          <w:tcPr>
            <w:tcW w:type="dxa" w:w="576"/>
            <w:shd w:fill="17365D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Pts</w:t>
            </w:r>
          </w:p>
        </w:tc>
        <w:tc>
          <w:tcPr>
            <w:tcW w:type="dxa" w:w="2232"/>
            <w:shd w:fill="17365D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Exemplary</w:t>
            </w:r>
          </w:p>
        </w:tc>
        <w:tc>
          <w:tcPr>
            <w:tcW w:type="dxa" w:w="2088"/>
            <w:shd w:fill="17365D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Proficient</w:t>
            </w:r>
          </w:p>
        </w:tc>
        <w:tc>
          <w:tcPr>
            <w:tcW w:type="dxa" w:w="2088"/>
            <w:shd w:fill="17365D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Developing</w:t>
            </w:r>
          </w:p>
        </w:tc>
        <w:tc>
          <w:tcPr>
            <w:tcW w:type="dxa" w:w="2088"/>
            <w:shd w:fill="17365D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Insufficient</w:t>
            </w:r>
          </w:p>
        </w:tc>
      </w:tr>
      <w:tr>
        <w:trPr>
          <w:cantSplit/>
        </w:trPr>
        <w:tc>
          <w:tcPr>
            <w:tcW w:type="dxa" w:w="1872"/>
            <w:vAlign w:val="top"/>
            <w:shd w:fill="EAF3F8"/>
          </w:tcPr>
          <w:p>
            <w:r/>
            <w:r>
              <w:rPr>
                <w:b/>
                <w:color w:val="17365D"/>
                <w:sz w:val="14"/>
              </w:rPr>
              <w:t>Data provenance and reconciliation</w:t>
            </w:r>
          </w:p>
        </w:tc>
        <w:tc>
          <w:tcPr>
            <w:tcW w:type="dxa" w:w="576"/>
            <w:vAlign w:val="top"/>
          </w:tcPr>
          <w:p>
            <w:r/>
            <w:r>
              <w:rPr>
                <w:b w:val="0"/>
                <w:sz w:val="14"/>
              </w:rPr>
              <w:t>10</w:t>
            </w:r>
          </w:p>
        </w:tc>
        <w:tc>
          <w:tcPr>
            <w:tcW w:type="dxa" w:w="2232"/>
            <w:vAlign w:val="top"/>
          </w:tcPr>
          <w:p>
            <w:r/>
            <w:r>
              <w:rPr>
                <w:b w:val="0"/>
                <w:sz w:val="14"/>
              </w:rPr>
              <w:t>All values trace to the correct audited fiscal year; units, signs, and source pages are documented; identities reconcile.</w:t>
            </w:r>
          </w:p>
        </w:tc>
        <w:tc>
          <w:tcPr>
            <w:tcW w:type="dxa" w:w="2088"/>
            <w:vAlign w:val="top"/>
          </w:tcPr>
          <w:p>
            <w:r/>
            <w:r>
              <w:rPr>
                <w:b w:val="0"/>
                <w:sz w:val="14"/>
              </w:rPr>
              <w:t>Minor citation or formatting issue; no material numerical error.</w:t>
            </w:r>
          </w:p>
        </w:tc>
        <w:tc>
          <w:tcPr>
            <w:tcW w:type="dxa" w:w="2088"/>
            <w:vAlign w:val="top"/>
          </w:tcPr>
          <w:p>
            <w:r/>
            <w:r>
              <w:rPr>
                <w:b w:val="0"/>
                <w:sz w:val="14"/>
              </w:rPr>
              <w:t>One or more values are weakly sourced, inconsistently signed, or not fully reconciled.</w:t>
            </w:r>
          </w:p>
        </w:tc>
        <w:tc>
          <w:tcPr>
            <w:tcW w:type="dxa" w:w="2088"/>
            <w:vAlign w:val="top"/>
          </w:tcPr>
          <w:p>
            <w:r/>
            <w:r>
              <w:rPr>
                <w:b w:val="0"/>
                <w:sz w:val="14"/>
              </w:rPr>
              <w:t>Uses wrong period, invented data, or material unreconciled values.</w:t>
            </w:r>
          </w:p>
        </w:tc>
      </w:tr>
      <w:tr>
        <w:trPr>
          <w:cantSplit/>
        </w:trPr>
        <w:tc>
          <w:tcPr>
            <w:tcW w:type="dxa" w:w="1872"/>
            <w:vAlign w:val="top"/>
            <w:shd w:fill="EAF3F8"/>
          </w:tcPr>
          <w:p>
            <w:r/>
            <w:r>
              <w:rPr>
                <w:b/>
                <w:color w:val="17365D"/>
                <w:sz w:val="14"/>
              </w:rPr>
              <w:t>Income statement Sankey</w:t>
            </w:r>
          </w:p>
        </w:tc>
        <w:tc>
          <w:tcPr>
            <w:tcW w:type="dxa" w:w="576"/>
            <w:vAlign w:val="top"/>
          </w:tcPr>
          <w:p>
            <w:r/>
            <w:r>
              <w:rPr>
                <w:b w:val="0"/>
                <w:sz w:val="14"/>
              </w:rPr>
              <w:t>12</w:t>
            </w:r>
          </w:p>
        </w:tc>
        <w:tc>
          <w:tcPr>
            <w:tcW w:type="dxa" w:w="2232"/>
            <w:vAlign w:val="top"/>
          </w:tcPr>
          <w:p>
            <w:r/>
            <w:r>
              <w:rPr>
                <w:b w:val="0"/>
                <w:sz w:val="14"/>
              </w:rPr>
              <w:t>All nodes balance; widths are proportional; operating and non-operating items are correctly classified; labels are clear.</w:t>
            </w:r>
          </w:p>
        </w:tc>
        <w:tc>
          <w:tcPr>
            <w:tcW w:type="dxa" w:w="2088"/>
            <w:vAlign w:val="top"/>
          </w:tcPr>
          <w:p>
            <w:r/>
            <w:r>
              <w:rPr>
                <w:b w:val="0"/>
                <w:sz w:val="14"/>
              </w:rPr>
              <w:t>Accurate and understandable with only minor visual or labeling weakness.</w:t>
            </w:r>
          </w:p>
        </w:tc>
        <w:tc>
          <w:tcPr>
            <w:tcW w:type="dxa" w:w="2088"/>
            <w:vAlign w:val="top"/>
          </w:tcPr>
          <w:p>
            <w:r/>
            <w:r>
              <w:rPr>
                <w:b w:val="0"/>
                <w:sz w:val="14"/>
              </w:rPr>
              <w:t>One classification, flow-width, or reconciliation issue reduces clarity.</w:t>
            </w:r>
          </w:p>
        </w:tc>
        <w:tc>
          <w:tcPr>
            <w:tcW w:type="dxa" w:w="2088"/>
            <w:vAlign w:val="top"/>
          </w:tcPr>
          <w:p>
            <w:r/>
            <w:r>
              <w:rPr>
                <w:b w:val="0"/>
                <w:sz w:val="14"/>
              </w:rPr>
              <w:t>Materially incorrect or missing.</w:t>
            </w:r>
          </w:p>
        </w:tc>
      </w:tr>
      <w:tr>
        <w:trPr>
          <w:cantSplit/>
        </w:trPr>
        <w:tc>
          <w:tcPr>
            <w:tcW w:type="dxa" w:w="1872"/>
            <w:vAlign w:val="top"/>
            <w:shd w:fill="EAF3F8"/>
          </w:tcPr>
          <w:p>
            <w:r/>
            <w:r>
              <w:rPr>
                <w:b/>
                <w:color w:val="17365D"/>
                <w:sz w:val="14"/>
              </w:rPr>
              <w:t>Free cash flow waterfall</w:t>
            </w:r>
          </w:p>
        </w:tc>
        <w:tc>
          <w:tcPr>
            <w:tcW w:type="dxa" w:w="576"/>
            <w:vAlign w:val="top"/>
          </w:tcPr>
          <w:p>
            <w:r/>
            <w:r>
              <w:rPr>
                <w:b w:val="0"/>
                <w:sz w:val="14"/>
              </w:rPr>
              <w:t>18</w:t>
            </w:r>
          </w:p>
        </w:tc>
        <w:tc>
          <w:tcPr>
            <w:tcW w:type="dxa" w:w="2232"/>
            <w:vAlign w:val="top"/>
          </w:tcPr>
          <w:p>
            <w:r/>
            <w:r>
              <w:rPr>
                <w:b w:val="0"/>
                <w:sz w:val="14"/>
              </w:rPr>
              <w:t>NOPAT, NOWC, textbook FCF, cash FCF, residual, and adjusted FCF are correct and clearly distinguished.</w:t>
            </w:r>
          </w:p>
        </w:tc>
        <w:tc>
          <w:tcPr>
            <w:tcW w:type="dxa" w:w="2088"/>
            <w:vAlign w:val="top"/>
          </w:tcPr>
          <w:p>
            <w:r/>
            <w:r>
              <w:rPr>
                <w:b w:val="0"/>
                <w:sz w:val="14"/>
              </w:rPr>
              <w:t>Correct totals with a minor explanation or presentation weakness.</w:t>
            </w:r>
          </w:p>
        </w:tc>
        <w:tc>
          <w:tcPr>
            <w:tcW w:type="dxa" w:w="2088"/>
            <w:vAlign w:val="top"/>
          </w:tcPr>
          <w:p>
            <w:r/>
            <w:r>
              <w:rPr>
                <w:b w:val="0"/>
                <w:sz w:val="14"/>
              </w:rPr>
              <w:t>One material formula/sign issue or weak reconciliation explanation.</w:t>
            </w:r>
          </w:p>
        </w:tc>
        <w:tc>
          <w:tcPr>
            <w:tcW w:type="dxa" w:w="2088"/>
            <w:vAlign w:val="top"/>
          </w:tcPr>
          <w:p>
            <w:r/>
            <w:r>
              <w:rPr>
                <w:b w:val="0"/>
                <w:sz w:val="14"/>
              </w:rPr>
              <w:t>Materially incorrect, hides residual, or treats non-GAAP FCF as GAAP.</w:t>
            </w:r>
          </w:p>
        </w:tc>
      </w:tr>
      <w:tr>
        <w:trPr>
          <w:cantSplit/>
        </w:trPr>
        <w:tc>
          <w:tcPr>
            <w:tcW w:type="dxa" w:w="1872"/>
            <w:vAlign w:val="top"/>
            <w:shd w:fill="EAF3F8"/>
          </w:tcPr>
          <w:p>
            <w:r/>
            <w:r>
              <w:rPr>
                <w:b/>
                <w:color w:val="17365D"/>
                <w:sz w:val="14"/>
              </w:rPr>
              <w:t>Five-year revenue and EPS trend</w:t>
            </w:r>
          </w:p>
        </w:tc>
        <w:tc>
          <w:tcPr>
            <w:tcW w:type="dxa" w:w="576"/>
            <w:vAlign w:val="top"/>
          </w:tcPr>
          <w:p>
            <w:r/>
            <w:r>
              <w:rPr>
                <w:b w:val="0"/>
                <w:sz w:val="14"/>
              </w:rPr>
              <w:t>10</w:t>
            </w:r>
          </w:p>
        </w:tc>
        <w:tc>
          <w:tcPr>
            <w:tcW w:type="dxa" w:w="2232"/>
            <w:vAlign w:val="top"/>
          </w:tcPr>
          <w:p>
            <w:r/>
            <w:r>
              <w:rPr>
                <w:b w:val="0"/>
                <w:sz w:val="14"/>
              </w:rPr>
              <w:t>Uses consistent GAAP data; CAGRs are correct; dual units are clear; interpretation is financially meaningful.</w:t>
            </w:r>
          </w:p>
        </w:tc>
        <w:tc>
          <w:tcPr>
            <w:tcW w:type="dxa" w:w="2088"/>
            <w:vAlign w:val="top"/>
          </w:tcPr>
          <w:p>
            <w:r/>
            <w:r>
              <w:rPr>
                <w:b w:val="0"/>
                <w:sz w:val="14"/>
              </w:rPr>
              <w:t>Accurate with a minor chart or interpretation weakness.</w:t>
            </w:r>
          </w:p>
        </w:tc>
        <w:tc>
          <w:tcPr>
            <w:tcW w:type="dxa" w:w="2088"/>
            <w:vAlign w:val="top"/>
          </w:tcPr>
          <w:p>
            <w:r/>
            <w:r>
              <w:rPr>
                <w:b w:val="0"/>
                <w:sz w:val="14"/>
              </w:rPr>
              <w:t>One data consistency or CAGR error.</w:t>
            </w:r>
          </w:p>
        </w:tc>
        <w:tc>
          <w:tcPr>
            <w:tcW w:type="dxa" w:w="2088"/>
            <w:vAlign w:val="top"/>
          </w:tcPr>
          <w:p>
            <w:r/>
            <w:r>
              <w:rPr>
                <w:b w:val="0"/>
                <w:sz w:val="14"/>
              </w:rPr>
              <w:t>Missing, materially wrong, or mixes GAAP and core EPS.</w:t>
            </w:r>
          </w:p>
        </w:tc>
      </w:tr>
      <w:tr>
        <w:trPr>
          <w:cantSplit/>
        </w:trPr>
        <w:tc>
          <w:tcPr>
            <w:tcW w:type="dxa" w:w="1872"/>
            <w:vAlign w:val="top"/>
            <w:shd w:fill="EAF3F8"/>
          </w:tcPr>
          <w:p>
            <w:r/>
            <w:r>
              <w:rPr>
                <w:b/>
                <w:color w:val="17365D"/>
                <w:sz w:val="14"/>
              </w:rPr>
              <w:t>DuPont ROE decomposition</w:t>
            </w:r>
          </w:p>
        </w:tc>
        <w:tc>
          <w:tcPr>
            <w:tcW w:type="dxa" w:w="576"/>
            <w:vAlign w:val="top"/>
          </w:tcPr>
          <w:p>
            <w:r/>
            <w:r>
              <w:rPr>
                <w:b w:val="0"/>
                <w:sz w:val="14"/>
              </w:rPr>
              <w:t>15</w:t>
            </w:r>
          </w:p>
        </w:tc>
        <w:tc>
          <w:tcPr>
            <w:tcW w:type="dxa" w:w="2232"/>
            <w:vAlign w:val="top"/>
          </w:tcPr>
          <w:p>
            <w:r/>
            <w:r>
              <w:rPr>
                <w:b w:val="0"/>
                <w:sz w:val="14"/>
              </w:rPr>
              <w:t>All factors use consistent average balances; product equals direct ROE; profitability, efficiency, and leverage are interpreted.</w:t>
            </w:r>
          </w:p>
        </w:tc>
        <w:tc>
          <w:tcPr>
            <w:tcW w:type="dxa" w:w="2088"/>
            <w:vAlign w:val="top"/>
          </w:tcPr>
          <w:p>
            <w:r/>
            <w:r>
              <w:rPr>
                <w:b w:val="0"/>
                <w:sz w:val="14"/>
              </w:rPr>
              <w:t>Correct with a minor rounding or interpretation issue.</w:t>
            </w:r>
          </w:p>
        </w:tc>
        <w:tc>
          <w:tcPr>
            <w:tcW w:type="dxa" w:w="2088"/>
            <w:vAlign w:val="top"/>
          </w:tcPr>
          <w:p>
            <w:r/>
            <w:r>
              <w:rPr>
                <w:b w:val="0"/>
                <w:sz w:val="14"/>
              </w:rPr>
              <w:t>One denominator inconsistency or conceptual weakness.</w:t>
            </w:r>
          </w:p>
        </w:tc>
        <w:tc>
          <w:tcPr>
            <w:tcW w:type="dxa" w:w="2088"/>
            <w:vAlign w:val="top"/>
          </w:tcPr>
          <w:p>
            <w:r/>
            <w:r>
              <w:rPr>
                <w:b w:val="0"/>
                <w:sz w:val="14"/>
              </w:rPr>
              <w:t>Materially incorrect or missing.</w:t>
            </w:r>
          </w:p>
        </w:tc>
      </w:tr>
      <w:tr>
        <w:trPr>
          <w:cantSplit/>
        </w:trPr>
        <w:tc>
          <w:tcPr>
            <w:tcW w:type="dxa" w:w="1872"/>
            <w:vAlign w:val="top"/>
            <w:shd w:fill="EAF3F8"/>
          </w:tcPr>
          <w:p>
            <w:r/>
            <w:r>
              <w:rPr>
                <w:b/>
                <w:color w:val="17365D"/>
                <w:sz w:val="14"/>
              </w:rPr>
              <w:t>Python code and REM documentation</w:t>
            </w:r>
          </w:p>
        </w:tc>
        <w:tc>
          <w:tcPr>
            <w:tcW w:type="dxa" w:w="576"/>
            <w:vAlign w:val="top"/>
          </w:tcPr>
          <w:p>
            <w:r/>
            <w:r>
              <w:rPr>
                <w:b w:val="0"/>
                <w:sz w:val="14"/>
              </w:rPr>
              <w:t>15</w:t>
            </w:r>
          </w:p>
        </w:tc>
        <w:tc>
          <w:tcPr>
            <w:tcW w:type="dxa" w:w="2232"/>
            <w:vAlign w:val="top"/>
          </w:tcPr>
          <w:p>
            <w:r/>
            <w:r>
              <w:rPr>
                <w:b w:val="0"/>
                <w:sz w:val="14"/>
              </w:rPr>
              <w:t>Executable, organized, commented, reproducible, validates inputs, and includes Reasoning Summary, Equations, Method, and Limitations.</w:t>
            </w:r>
          </w:p>
        </w:tc>
        <w:tc>
          <w:tcPr>
            <w:tcW w:type="dxa" w:w="2088"/>
            <w:vAlign w:val="top"/>
          </w:tcPr>
          <w:p>
            <w:r/>
            <w:r>
              <w:rPr>
                <w:b w:val="0"/>
                <w:sz w:val="14"/>
              </w:rPr>
              <w:t>Runs correctly with minor organization or documentation weakness.</w:t>
            </w:r>
          </w:p>
        </w:tc>
        <w:tc>
          <w:tcPr>
            <w:tcW w:type="dxa" w:w="2088"/>
            <w:vAlign w:val="top"/>
          </w:tcPr>
          <w:p>
            <w:r/>
            <w:r>
              <w:rPr>
                <w:b w:val="0"/>
                <w:sz w:val="14"/>
              </w:rPr>
              <w:t>Runs only after manual fixes, uses fragile hard-coded logic, or has incomplete REM documentation.</w:t>
            </w:r>
          </w:p>
        </w:tc>
        <w:tc>
          <w:tcPr>
            <w:tcW w:type="dxa" w:w="2088"/>
            <w:vAlign w:val="top"/>
          </w:tcPr>
          <w:p>
            <w:r/>
            <w:r>
              <w:rPr>
                <w:b w:val="0"/>
                <w:sz w:val="14"/>
              </w:rPr>
              <w:t>Does not run, is largely unexplained, or cannot be reproduced.</w:t>
            </w:r>
          </w:p>
        </w:tc>
      </w:tr>
      <w:tr>
        <w:trPr>
          <w:cantSplit/>
        </w:trPr>
        <w:tc>
          <w:tcPr>
            <w:tcW w:type="dxa" w:w="1872"/>
            <w:vAlign w:val="top"/>
            <w:shd w:fill="EAF3F8"/>
          </w:tcPr>
          <w:p>
            <w:r/>
            <w:r>
              <w:rPr>
                <w:b/>
                <w:color w:val="17365D"/>
                <w:sz w:val="14"/>
              </w:rPr>
              <w:t>AI verification and corrections</w:t>
            </w:r>
          </w:p>
        </w:tc>
        <w:tc>
          <w:tcPr>
            <w:tcW w:type="dxa" w:w="576"/>
            <w:vAlign w:val="top"/>
          </w:tcPr>
          <w:p>
            <w:r/>
            <w:r>
              <w:rPr>
                <w:b w:val="0"/>
                <w:sz w:val="14"/>
              </w:rPr>
              <w:t>10</w:t>
            </w:r>
          </w:p>
        </w:tc>
        <w:tc>
          <w:tcPr>
            <w:tcW w:type="dxa" w:w="2232"/>
            <w:vAlign w:val="top"/>
          </w:tcPr>
          <w:p>
            <w:r/>
            <w:r>
              <w:rPr>
                <w:b w:val="0"/>
                <w:sz w:val="14"/>
              </w:rPr>
              <w:t>Verification sheet complete; tolerances are sensible; at least one meaningful assumption/weakness/correction is documented.</w:t>
            </w:r>
          </w:p>
        </w:tc>
        <w:tc>
          <w:tcPr>
            <w:tcW w:type="dxa" w:w="2088"/>
            <w:vAlign w:val="top"/>
          </w:tcPr>
          <w:p>
            <w:r/>
            <w:r>
              <w:rPr>
                <w:b w:val="0"/>
                <w:sz w:val="14"/>
              </w:rPr>
              <w:t>Checks are complete with limited depth in the narrative.</w:t>
            </w:r>
          </w:p>
        </w:tc>
        <w:tc>
          <w:tcPr>
            <w:tcW w:type="dxa" w:w="2088"/>
            <w:vAlign w:val="top"/>
          </w:tcPr>
          <w:p>
            <w:r/>
            <w:r>
              <w:rPr>
                <w:b w:val="0"/>
                <w:sz w:val="14"/>
              </w:rPr>
              <w:t>Several checks or correction explanations are incomplete.</w:t>
            </w:r>
          </w:p>
        </w:tc>
        <w:tc>
          <w:tcPr>
            <w:tcW w:type="dxa" w:w="2088"/>
            <w:vAlign w:val="top"/>
          </w:tcPr>
          <w:p>
            <w:r/>
            <w:r>
              <w:rPr>
                <w:b w:val="0"/>
                <w:sz w:val="14"/>
              </w:rPr>
              <w:t>Little or no evidence of human verification.</w:t>
            </w:r>
          </w:p>
        </w:tc>
      </w:tr>
      <w:tr>
        <w:trPr>
          <w:cantSplit/>
        </w:trPr>
        <w:tc>
          <w:tcPr>
            <w:tcW w:type="dxa" w:w="1872"/>
            <w:vAlign w:val="top"/>
            <w:shd w:fill="EAF3F8"/>
          </w:tcPr>
          <w:p>
            <w:r/>
            <w:r>
              <w:rPr>
                <w:b/>
                <w:color w:val="17365D"/>
                <w:sz w:val="14"/>
              </w:rPr>
              <w:t>Financial story and executive interpretation</w:t>
            </w:r>
          </w:p>
        </w:tc>
        <w:tc>
          <w:tcPr>
            <w:tcW w:type="dxa" w:w="576"/>
            <w:vAlign w:val="top"/>
          </w:tcPr>
          <w:p>
            <w:r/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2232"/>
            <w:vAlign w:val="top"/>
          </w:tcPr>
          <w:p>
            <w:r/>
            <w:r>
              <w:rPr>
                <w:b w:val="0"/>
                <w:sz w:val="14"/>
              </w:rPr>
              <w:t>Integrates all four visuals into a coherent, appropriately cautious financial conclusion.</w:t>
            </w:r>
          </w:p>
        </w:tc>
        <w:tc>
          <w:tcPr>
            <w:tcW w:type="dxa" w:w="2088"/>
            <w:vAlign w:val="top"/>
          </w:tcPr>
          <w:p>
            <w:r/>
            <w:r>
              <w:rPr>
                <w:b w:val="0"/>
                <w:sz w:val="14"/>
              </w:rPr>
              <w:t>Generally coherent with minor omissions.</w:t>
            </w:r>
          </w:p>
        </w:tc>
        <w:tc>
          <w:tcPr>
            <w:tcW w:type="dxa" w:w="2088"/>
            <w:vAlign w:val="top"/>
          </w:tcPr>
          <w:p>
            <w:r/>
            <w:r>
              <w:rPr>
                <w:b w:val="0"/>
                <w:sz w:val="14"/>
              </w:rPr>
              <w:t>Mostly describes charts without integrating them.</w:t>
            </w:r>
          </w:p>
        </w:tc>
        <w:tc>
          <w:tcPr>
            <w:tcW w:type="dxa" w:w="2088"/>
            <w:vAlign w:val="top"/>
          </w:tcPr>
          <w:p>
            <w:r/>
            <w:r>
              <w:rPr>
                <w:b w:val="0"/>
                <w:sz w:val="14"/>
              </w:rPr>
              <w:t>Unsupported or materially misleading conclusion.</w:t>
            </w:r>
          </w:p>
        </w:tc>
      </w:tr>
      <w:tr>
        <w:trPr>
          <w:cantSplit/>
        </w:trPr>
        <w:tc>
          <w:tcPr>
            <w:tcW w:type="dxa" w:w="1872"/>
            <w:vAlign w:val="top"/>
            <w:shd w:fill="EAF3F8"/>
          </w:tcPr>
          <w:p>
            <w:r/>
            <w:r>
              <w:rPr>
                <w:b/>
                <w:color w:val="17365D"/>
                <w:sz w:val="14"/>
              </w:rPr>
              <w:t>Presentation and individual accountability</w:t>
            </w:r>
          </w:p>
        </w:tc>
        <w:tc>
          <w:tcPr>
            <w:tcW w:type="dxa" w:w="576"/>
            <w:vAlign w:val="top"/>
          </w:tcPr>
          <w:p>
            <w:r/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2232"/>
            <w:vAlign w:val="top"/>
          </w:tcPr>
          <w:p>
            <w:r/>
            <w:r>
              <w:rPr>
                <w:b w:val="0"/>
                <w:sz w:val="14"/>
              </w:rPr>
              <w:t>Clear five-minute presentation; all members participate and answer questions accurately.</w:t>
            </w:r>
          </w:p>
        </w:tc>
        <w:tc>
          <w:tcPr>
            <w:tcW w:type="dxa" w:w="2088"/>
            <w:vAlign w:val="top"/>
          </w:tcPr>
          <w:p>
            <w:r/>
            <w:r>
              <w:rPr>
                <w:b w:val="0"/>
                <w:sz w:val="14"/>
              </w:rPr>
              <w:t>Generally clear; one member shows limited understanding.</w:t>
            </w:r>
          </w:p>
        </w:tc>
        <w:tc>
          <w:tcPr>
            <w:tcW w:type="dxa" w:w="2088"/>
            <w:vAlign w:val="top"/>
          </w:tcPr>
          <w:p>
            <w:r/>
            <w:r>
              <w:rPr>
                <w:b w:val="0"/>
                <w:sz w:val="14"/>
              </w:rPr>
              <w:t>Uneven participation or several weak answers.</w:t>
            </w:r>
          </w:p>
        </w:tc>
        <w:tc>
          <w:tcPr>
            <w:tcW w:type="dxa" w:w="2088"/>
            <w:vAlign w:val="top"/>
          </w:tcPr>
          <w:p>
            <w:r/>
            <w:r>
              <w:rPr>
                <w:b w:val="0"/>
                <w:sz w:val="14"/>
              </w:rPr>
              <w:t>Team cannot explain its own work.</w:t>
            </w:r>
          </w:p>
        </w:tc>
      </w:tr>
    </w:tbl>
    <w:p/>
    <w:p>
      <w:r>
        <w:rPr>
          <w:b/>
        </w:rPr>
        <w:t>Total: 100 points</w:t>
      </w:r>
    </w:p>
    <w:p>
      <w:pPr>
        <w:pStyle w:val="Heading1"/>
      </w:pPr>
      <w:r>
        <w:t>Automatic or Severe Deductions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7200"/>
            <w:shd w:fill="17365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Issue</w:t>
            </w:r>
          </w:p>
        </w:tc>
        <w:tc>
          <w:tcPr>
            <w:tcW w:type="dxa" w:w="2160"/>
            <w:shd w:fill="17365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Possible Deduction</w:t>
            </w:r>
          </w:p>
        </w:tc>
      </w:tr>
      <w:tr>
        <w:trPr>
          <w:cantSplit/>
        </w:trPr>
        <w:tc>
          <w:tcPr>
            <w:tcW w:type="dxa" w:w="7200"/>
            <w:shd w:fill="F7F9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Wrong fiscal period or annualized quarterly data</w:t>
            </w:r>
          </w:p>
        </w:tc>
        <w:tc>
          <w:tcPr>
            <w:tcW w:type="dxa" w:w="2160"/>
            <w:shd w:fill="F7F9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Up to -20</w:t>
            </w:r>
          </w:p>
        </w:tc>
      </w:tr>
      <w:tr>
        <w:trPr>
          <w:cantSplit/>
        </w:trPr>
        <w:tc>
          <w:tcPr>
            <w:tcW w:type="dxa" w:w="7200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Material invented or unsourced financial data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Up to -30 and academic-integrity review</w:t>
            </w:r>
          </w:p>
        </w:tc>
      </w:tr>
      <w:tr>
        <w:trPr>
          <w:cantSplit/>
        </w:trPr>
        <w:tc>
          <w:tcPr>
            <w:tcW w:type="dxa" w:w="7200"/>
            <w:shd w:fill="F7F9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Code does not run from submitted files</w:t>
            </w:r>
          </w:p>
        </w:tc>
        <w:tc>
          <w:tcPr>
            <w:tcW w:type="dxa" w:w="2160"/>
            <w:shd w:fill="F7F9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Up to -15</w:t>
            </w:r>
          </w:p>
        </w:tc>
      </w:tr>
      <w:tr>
        <w:trPr>
          <w:cantSplit/>
        </w:trPr>
        <w:tc>
          <w:tcPr>
            <w:tcW w:type="dxa" w:w="7200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Undisclosed AI use or missing prompt/REM block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Up to -10</w:t>
            </w:r>
          </w:p>
        </w:tc>
      </w:tr>
      <w:tr>
        <w:trPr>
          <w:cantSplit/>
        </w:trPr>
        <w:tc>
          <w:tcPr>
            <w:tcW w:type="dxa" w:w="7200"/>
            <w:shd w:fill="F7F9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Team member cannot explain assigned or randomly selected code/formula</w:t>
            </w:r>
          </w:p>
        </w:tc>
        <w:tc>
          <w:tcPr>
            <w:tcW w:type="dxa" w:w="2160"/>
            <w:shd w:fill="F7F9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Individual reduction up to -15</w:t>
            </w:r>
          </w:p>
        </w:tc>
      </w:tr>
      <w:tr>
        <w:trPr>
          <w:cantSplit/>
        </w:trPr>
        <w:tc>
          <w:tcPr>
            <w:tcW w:type="dxa" w:w="7200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Dashboard omits one required visualization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Full criterion score lost</w:t>
            </w:r>
          </w:p>
        </w:tc>
      </w:tr>
    </w:tbl>
    <w:p>
      <w:pPr>
        <w:pStyle w:val="Heading1"/>
      </w:pPr>
      <w:r>
        <w:t>Suggested Score Bands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1872"/>
            <w:shd w:fill="17365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Score</w:t>
            </w:r>
          </w:p>
        </w:tc>
        <w:tc>
          <w:tcPr>
            <w:tcW w:type="dxa" w:w="7488"/>
            <w:shd w:fill="17365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Performance</w:t>
            </w:r>
          </w:p>
        </w:tc>
      </w:tr>
      <w:tr>
        <w:trPr>
          <w:cantSplit/>
        </w:trPr>
        <w:tc>
          <w:tcPr>
            <w:tcW w:type="dxa" w:w="1872"/>
            <w:shd w:fill="F7F9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93-100</w:t>
            </w:r>
          </w:p>
        </w:tc>
        <w:tc>
          <w:tcPr>
            <w:tcW w:type="dxa" w:w="7488"/>
            <w:shd w:fill="F7F9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Exceptional professional-quality work</w:t>
            </w:r>
          </w:p>
        </w:tc>
      </w:tr>
      <w:tr>
        <w:trPr>
          <w:cantSplit/>
        </w:trPr>
        <w:tc>
          <w:tcPr>
            <w:tcW w:type="dxa" w:w="187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85-92</w:t>
            </w:r>
          </w:p>
        </w:tc>
        <w:tc>
          <w:tcPr>
            <w:tcW w:type="dxa" w:w="748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Strong work with limited weaknesses</w:t>
            </w:r>
          </w:p>
        </w:tc>
      </w:tr>
      <w:tr>
        <w:trPr>
          <w:cantSplit/>
        </w:trPr>
        <w:tc>
          <w:tcPr>
            <w:tcW w:type="dxa" w:w="1872"/>
            <w:shd w:fill="F7F9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75-84</w:t>
            </w:r>
          </w:p>
        </w:tc>
        <w:tc>
          <w:tcPr>
            <w:tcW w:type="dxa" w:w="7488"/>
            <w:shd w:fill="F7F9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Competent but contains meaningful analytical or communication gaps</w:t>
            </w:r>
          </w:p>
        </w:tc>
      </w:tr>
      <w:tr>
        <w:trPr>
          <w:cantSplit/>
        </w:trPr>
        <w:tc>
          <w:tcPr>
            <w:tcW w:type="dxa" w:w="187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65-74</w:t>
            </w:r>
          </w:p>
        </w:tc>
        <w:tc>
          <w:tcPr>
            <w:tcW w:type="dxa" w:w="748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Major weaknesses; partial achievement of objectives</w:t>
            </w:r>
          </w:p>
        </w:tc>
      </w:tr>
      <w:tr>
        <w:trPr>
          <w:cantSplit/>
        </w:trPr>
        <w:tc>
          <w:tcPr>
            <w:tcW w:type="dxa" w:w="1872"/>
            <w:shd w:fill="F7F9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Below 65</w:t>
            </w:r>
          </w:p>
        </w:tc>
        <w:tc>
          <w:tcPr>
            <w:tcW w:type="dxa" w:w="7488"/>
            <w:shd w:fill="F7F9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Insufficient evidence of mastery or verification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9000"/>
      </w:tabs>
      <w:jc w:val="right"/>
    </w:pPr>
    <w:r/>
    <w:r>
      <w:rPr>
        <w:color w:val="666666"/>
        <w:sz w:val="16"/>
      </w:rPr>
      <w:t>University course material | Procter &amp; Gamble FY2025</w:t>
    </w:r>
    <w:r>
      <w:tab/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color w:val="666666"/>
        <w:sz w:val="17"/>
      </w:rPr>
      <w:t>FINC 310 | P&amp;G Financial Story Dashboard - Grading Rubric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after="80" w:line="240" w:lineRule="auto"/>
      <w:ind w:left="360" w:right="216"/>
    </w:pPr>
    <w:rPr>
      <w:rFonts w:ascii="Consolas" w:hAnsi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