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FINC 310 Group Assignment</w:t>
      </w:r>
    </w:p>
    <w:p>
      <w:pPr>
        <w:jc w:val="center"/>
      </w:pPr>
      <w:r>
        <w:rPr>
          <w:i/>
          <w:color w:val="1F4E78"/>
          <w:sz w:val="24"/>
        </w:rPr>
        <w:t>Procter &amp; Gamble Financial Story Dashboard | AI, Python, and Audited 10-K Data</w:t>
      </w:r>
    </w:p>
    <w:p/>
    <w:tbl>
      <w:tblPr>
        <w:tblW w:type="auto" w:w="0"/>
        <w:jc w:val="center"/>
        <w:tblLayout w:type="fixed"/>
        <w:tblLook w:firstColumn="1" w:firstRow="1" w:lastColumn="0" w:lastRow="0" w:noHBand="0" w:noVBand="1" w:val="04A0"/>
      </w:tblPr>
      <w:tblGrid>
        <w:gridCol w:w="5083"/>
        <w:gridCol w:w="5083"/>
      </w:tblGrid>
      <w:tr>
        <w:tc>
          <w:tcPr>
            <w:tcW w:type="dxa" w:w="3024"/>
            <w:shd w:fill="EAF3F8"/>
            <w:vAlign w:val="center"/>
          </w:tcPr>
          <w:p>
            <w:r/>
            <w:r>
              <w:rPr>
                <w:b/>
                <w:color w:val="17365D"/>
                <w:sz w:val="18"/>
              </w:rPr>
              <w:t>Company</w:t>
            </w:r>
          </w:p>
        </w:tc>
        <w:tc>
          <w:tcPr>
            <w:tcW w:type="dxa" w:w="6480"/>
            <w:vAlign w:val="center"/>
          </w:tcPr>
          <w:p>
            <w:r/>
            <w:r>
              <w:rPr>
                <w:b w:val="0"/>
                <w:sz w:val="18"/>
              </w:rPr>
              <w:t>The Procter &amp; Gamble Company (NYSE: PG)</w:t>
            </w:r>
          </w:p>
        </w:tc>
      </w:tr>
      <w:tr>
        <w:tc>
          <w:tcPr>
            <w:tcW w:type="dxa" w:w="3024"/>
            <w:shd w:fill="EAF3F8"/>
            <w:vAlign w:val="center"/>
          </w:tcPr>
          <w:p>
            <w:r/>
            <w:r>
              <w:rPr>
                <w:b/>
                <w:color w:val="17365D"/>
                <w:sz w:val="18"/>
              </w:rPr>
              <w:t>Team size</w:t>
            </w:r>
          </w:p>
        </w:tc>
        <w:tc>
          <w:tcPr>
            <w:tcW w:type="dxa" w:w="6480"/>
            <w:vAlign w:val="center"/>
          </w:tcPr>
          <w:p>
            <w:r/>
            <w:r>
              <w:rPr>
                <w:b w:val="0"/>
                <w:sz w:val="18"/>
              </w:rPr>
              <w:t>Approximately six students</w:t>
            </w:r>
          </w:p>
        </w:tc>
      </w:tr>
      <w:tr>
        <w:tc>
          <w:tcPr>
            <w:tcW w:type="dxa" w:w="3024"/>
            <w:shd w:fill="EAF3F8"/>
            <w:vAlign w:val="center"/>
          </w:tcPr>
          <w:p>
            <w:r/>
            <w:r>
              <w:rPr>
                <w:b/>
                <w:color w:val="17365D"/>
                <w:sz w:val="18"/>
              </w:rPr>
              <w:t>Data provided</w:t>
            </w:r>
          </w:p>
        </w:tc>
        <w:tc>
          <w:tcPr>
            <w:tcW w:type="dxa" w:w="6480"/>
            <w:vAlign w:val="center"/>
          </w:tcPr>
          <w:p>
            <w:r/>
            <w:r>
              <w:rPr>
                <w:b w:val="0"/>
                <w:sz w:val="18"/>
              </w:rPr>
              <w:t>PG_FinancialStory_Student.xlsx and P&amp;G FY2025 annual report</w:t>
            </w:r>
          </w:p>
        </w:tc>
      </w:tr>
      <w:tr>
        <w:tc>
          <w:tcPr>
            <w:tcW w:type="dxa" w:w="3024"/>
            <w:shd w:fill="EAF3F8"/>
            <w:vAlign w:val="center"/>
          </w:tcPr>
          <w:p>
            <w:r/>
            <w:r>
              <w:rPr>
                <w:b/>
                <w:color w:val="17365D"/>
                <w:sz w:val="18"/>
              </w:rPr>
              <w:t>Required outputs</w:t>
            </w:r>
          </w:p>
        </w:tc>
        <w:tc>
          <w:tcPr>
            <w:tcW w:type="dxa" w:w="6480"/>
            <w:vAlign w:val="center"/>
          </w:tcPr>
          <w:p>
            <w:r/>
            <w:r>
              <w:rPr>
                <w:b w:val="0"/>
                <w:sz w:val="18"/>
              </w:rPr>
              <w:t>Four visualizations, annotated Python, AI audit, executive interpretation, and presentation</w:t>
            </w:r>
          </w:p>
        </w:tc>
      </w:tr>
      <w:tr>
        <w:tc>
          <w:tcPr>
            <w:tcW w:type="dxa" w:w="3024"/>
            <w:shd w:fill="EAF3F8"/>
            <w:vAlign w:val="center"/>
          </w:tcPr>
          <w:p>
            <w:r/>
            <w:r>
              <w:rPr>
                <w:b/>
                <w:color w:val="17365D"/>
                <w:sz w:val="18"/>
              </w:rPr>
              <w:t>Points</w:t>
            </w:r>
          </w:p>
        </w:tc>
        <w:tc>
          <w:tcPr>
            <w:tcW w:type="dxa" w:w="6480"/>
            <w:vAlign w:val="center"/>
          </w:tcPr>
          <w:p>
            <w:r/>
            <w:r>
              <w:rPr>
                <w:b w:val="0"/>
                <w:sz w:val="18"/>
              </w:rPr>
              <w:t>100 group points, including individual code-understanding questions</w:t>
            </w:r>
          </w:p>
        </w:tc>
      </w:tr>
      <w:tr>
        <w:tc>
          <w:tcPr>
            <w:tcW w:type="dxa" w:w="3024"/>
            <w:shd w:fill="EAF3F8"/>
            <w:vAlign w:val="center"/>
          </w:tcPr>
          <w:p>
            <w:r/>
            <w:r>
              <w:rPr>
                <w:b/>
                <w:color w:val="17365D"/>
                <w:sz w:val="18"/>
              </w:rPr>
              <w:t>Time</w:t>
            </w:r>
          </w:p>
        </w:tc>
        <w:tc>
          <w:tcPr>
            <w:tcW w:type="dxa" w:w="6480"/>
            <w:vAlign w:val="center"/>
          </w:tcPr>
          <w:p>
            <w:r/>
            <w:r>
              <w:rPr>
                <w:b w:val="0"/>
                <w:sz w:val="18"/>
              </w:rPr>
              <w:t>Designed for two class meetings plus limited team preparation</w:t>
            </w:r>
          </w:p>
        </w:tc>
      </w:tr>
    </w:tbl>
    <w:p>
      <w:pPr>
        <w:pStyle w:val="Heading1"/>
      </w:pPr>
      <w:r>
        <w:t>Purpose</w:t>
      </w:r>
    </w:p>
    <w:p>
      <w:r>
        <w:t>Your team will use audited annual financial statements, AI, and Python to tell a coherent financial story. AI may help write code, but your team is responsible for verifying every number, formula, label, and conclusion.</w:t>
      </w:r>
    </w:p>
    <w:p>
      <w:pPr>
        <w:pStyle w:val="Heading2"/>
      </w:pPr>
      <w:r>
        <w:t>Learning Goals</w:t>
      </w:r>
    </w:p>
    <w:p>
      <w:pPr>
        <w:pStyle w:val="ListBullet"/>
        <w:spacing w:after="40"/>
      </w:pPr>
      <w:r>
        <w:t>Read and reconcile an audited income statement, balance sheet, and cash-flow statement.</w:t>
      </w:r>
    </w:p>
    <w:p>
      <w:pPr>
        <w:pStyle w:val="ListBullet"/>
        <w:spacing w:after="40"/>
      </w:pPr>
      <w:r>
        <w:t>Explain how revenue becomes operating income and net earnings.</w:t>
      </w:r>
    </w:p>
    <w:p>
      <w:pPr>
        <w:pStyle w:val="ListBullet"/>
        <w:spacing w:after="40"/>
      </w:pPr>
      <w:r>
        <w:t>Explain how accounting profit becomes free cash flow.</w:t>
      </w:r>
    </w:p>
    <w:p>
      <w:pPr>
        <w:pStyle w:val="ListBullet"/>
        <w:spacing w:after="40"/>
      </w:pPr>
      <w:r>
        <w:t>Analyze five-year revenue and diluted EPS performance.</w:t>
      </w:r>
    </w:p>
    <w:p>
      <w:pPr>
        <w:pStyle w:val="ListBullet"/>
        <w:spacing w:after="40"/>
      </w:pPr>
      <w:r>
        <w:t>Decompose ROE into profit margin, asset turnover, and financial leverage.</w:t>
      </w:r>
    </w:p>
    <w:p>
      <w:pPr>
        <w:pStyle w:val="ListBullet"/>
        <w:spacing w:after="40"/>
      </w:pPr>
      <w:r>
        <w:t>Use AI as an analytical assistant while maintaining human control and accountability.</w:t>
      </w:r>
    </w:p>
    <w:p>
      <w:pPr>
        <w:pStyle w:val="Heading2"/>
      </w:pPr>
      <w:r>
        <w:t>AI Use Standard</w:t>
      </w:r>
    </w:p>
    <w:p>
      <w:r>
        <w:t>You are required to document AI use. You are not graded on whether AI generates code quickly. You are graded on whether the final code and financial analysis are accurate, understandable, reproducible, and audited.</w:t>
      </w:r>
    </w:p>
    <w:p>
      <w:r>
        <w:br w:type="page"/>
      </w:r>
    </w:p>
    <w:p>
      <w:pPr>
        <w:pStyle w:val="Heading1"/>
      </w:pPr>
      <w:r>
        <w:t>1. Team Roles and Individual Accountability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65D"/>
          </w:tcPr>
          <w:p>
            <w:pPr>
              <w:jc w:val="center"/>
            </w:pPr>
            <w:r/>
            <w:r>
              <w:rPr>
                <w:b/>
                <w:color w:val="FFFFFF"/>
                <w:sz w:val="18"/>
              </w:rPr>
              <w:t>Role</w:t>
            </w:r>
          </w:p>
        </w:tc>
        <w:tc>
          <w:tcPr>
            <w:tcW w:type="dxa" w:w="7200"/>
            <w:shd w:fill="17365D"/>
          </w:tcPr>
          <w:p>
            <w:pPr>
              <w:jc w:val="center"/>
            </w:pPr>
            <w:r/>
            <w:r>
              <w:rPr>
                <w:b/>
                <w:color w:val="FFFFFF"/>
                <w:sz w:val="18"/>
              </w:rPr>
              <w:t>Primary Responsibility</w:t>
            </w:r>
          </w:p>
        </w:tc>
      </w:tr>
      <w:tr>
        <w:tc>
          <w:tcPr>
            <w:tcW w:type="dxa" w:w="2592"/>
            <w:shd w:fill="F7F9FB"/>
          </w:tcPr>
          <w:p>
            <w:pPr>
              <w:jc w:val="left"/>
            </w:pPr>
            <w:r/>
            <w:r>
              <w:rPr>
                <w:b w:val="0"/>
                <w:sz w:val="18"/>
              </w:rPr>
              <w:t>Data Controller</w:t>
            </w:r>
          </w:p>
        </w:tc>
        <w:tc>
          <w:tcPr>
            <w:tcW w:type="dxa" w:w="7200"/>
            <w:shd w:fill="F7F9FB"/>
          </w:tcPr>
          <w:p>
            <w:pPr>
              <w:jc w:val="left"/>
            </w:pPr>
            <w:r/>
            <w:r>
              <w:rPr>
                <w:b w:val="0"/>
                <w:sz w:val="18"/>
              </w:rPr>
              <w:t>Verifies source pages, units, fiscal year, signs, and workbook labels.</w:t>
            </w:r>
          </w:p>
        </w:tc>
      </w:tr>
      <w:tr>
        <w:tc>
          <w:tcPr>
            <w:tcW w:type="dxa" w:w="2592"/>
          </w:tcPr>
          <w:p>
            <w:pPr>
              <w:jc w:val="left"/>
            </w:pPr>
            <w:r/>
            <w:r>
              <w:rPr>
                <w:b w:val="0"/>
                <w:sz w:val="18"/>
              </w:rPr>
              <w:t>Income Statement Lead</w:t>
            </w:r>
          </w:p>
        </w:tc>
        <w:tc>
          <w:tcPr>
            <w:tcW w:type="dxa" w:w="7200"/>
          </w:tcPr>
          <w:p>
            <w:pPr>
              <w:jc w:val="left"/>
            </w:pPr>
            <w:r/>
            <w:r>
              <w:rPr>
                <w:b w:val="0"/>
                <w:sz w:val="18"/>
              </w:rPr>
              <w:t>Builds and explains the Sankey and common-size analysis.</w:t>
            </w:r>
          </w:p>
        </w:tc>
      </w:tr>
      <w:tr>
        <w:tc>
          <w:tcPr>
            <w:tcW w:type="dxa" w:w="2592"/>
            <w:shd w:fill="F7F9FB"/>
          </w:tcPr>
          <w:p>
            <w:pPr>
              <w:jc w:val="left"/>
            </w:pPr>
            <w:r/>
            <w:r>
              <w:rPr>
                <w:b w:val="0"/>
                <w:sz w:val="18"/>
              </w:rPr>
              <w:t>Cash Flow Lead</w:t>
            </w:r>
          </w:p>
        </w:tc>
        <w:tc>
          <w:tcPr>
            <w:tcW w:type="dxa" w:w="7200"/>
            <w:shd w:fill="F7F9FB"/>
          </w:tcPr>
          <w:p>
            <w:pPr>
              <w:jc w:val="left"/>
            </w:pPr>
            <w:r/>
            <w:r>
              <w:rPr>
                <w:b w:val="0"/>
                <w:sz w:val="18"/>
              </w:rPr>
              <w:t>Builds and explains NOPAT, NOWC, FCF, and the reconciliation.</w:t>
            </w:r>
          </w:p>
        </w:tc>
      </w:tr>
      <w:tr>
        <w:tc>
          <w:tcPr>
            <w:tcW w:type="dxa" w:w="2592"/>
          </w:tcPr>
          <w:p>
            <w:pPr>
              <w:jc w:val="left"/>
            </w:pPr>
            <w:r/>
            <w:r>
              <w:rPr>
                <w:b w:val="0"/>
                <w:sz w:val="18"/>
              </w:rPr>
              <w:t>Trend and DuPont Lead</w:t>
            </w:r>
          </w:p>
        </w:tc>
        <w:tc>
          <w:tcPr>
            <w:tcW w:type="dxa" w:w="7200"/>
          </w:tcPr>
          <w:p>
            <w:pPr>
              <w:jc w:val="left"/>
            </w:pPr>
            <w:r/>
            <w:r>
              <w:rPr>
                <w:b w:val="0"/>
                <w:sz w:val="18"/>
              </w:rPr>
              <w:t>Builds and explains five-year trends, CAGRs, and ROE factors.</w:t>
            </w:r>
          </w:p>
        </w:tc>
      </w:tr>
      <w:tr>
        <w:tc>
          <w:tcPr>
            <w:tcW w:type="dxa" w:w="2592"/>
            <w:shd w:fill="F7F9FB"/>
          </w:tcPr>
          <w:p>
            <w:pPr>
              <w:jc w:val="left"/>
            </w:pPr>
            <w:r/>
            <w:r>
              <w:rPr>
                <w:b w:val="0"/>
                <w:sz w:val="18"/>
              </w:rPr>
              <w:t>Python/AI Lead</w:t>
            </w:r>
          </w:p>
        </w:tc>
        <w:tc>
          <w:tcPr>
            <w:tcW w:type="dxa" w:w="7200"/>
            <w:shd w:fill="F7F9FB"/>
          </w:tcPr>
          <w:p>
            <w:pPr>
              <w:jc w:val="left"/>
            </w:pPr>
            <w:r/>
            <w:r>
              <w:rPr>
                <w:b w:val="0"/>
                <w:sz w:val="18"/>
              </w:rPr>
              <w:t>Maintains the executable program and REM comments.</w:t>
            </w:r>
          </w:p>
        </w:tc>
      </w:tr>
      <w:tr>
        <w:tc>
          <w:tcPr>
            <w:tcW w:type="dxa" w:w="2592"/>
          </w:tcPr>
          <w:p>
            <w:pPr>
              <w:jc w:val="left"/>
            </w:pPr>
            <w:r/>
            <w:r>
              <w:rPr>
                <w:b w:val="0"/>
                <w:sz w:val="18"/>
              </w:rPr>
              <w:t>Audit/Presentation Lead</w:t>
            </w:r>
          </w:p>
        </w:tc>
        <w:tc>
          <w:tcPr>
            <w:tcW w:type="dxa" w:w="7200"/>
          </w:tcPr>
          <w:p>
            <w:pPr>
              <w:jc w:val="left"/>
            </w:pPr>
            <w:r/>
            <w:r>
              <w:rPr>
                <w:b w:val="0"/>
                <w:sz w:val="18"/>
              </w:rPr>
              <w:t>Coordinates the verification log and final financial story.</w:t>
            </w:r>
          </w:p>
        </w:tc>
      </w:tr>
    </w:tbl>
    <w:p>
      <w:r>
        <w:t>The professor may ask any team member to explain any code block, formula, or visualization. A role assignment does not excuse a student from understanding the entire submission.</w:t>
      </w:r>
    </w:p>
    <w:p>
      <w:pPr>
        <w:pStyle w:val="Heading2"/>
      </w:pPr>
      <w:r>
        <w:t>Required Files</w:t>
      </w:r>
    </w:p>
    <w:p>
      <w:pPr>
        <w:pStyle w:val="ListBullet"/>
        <w:spacing w:after="40"/>
      </w:pPr>
      <w:r>
        <w:t>PG_FinancialStory_Student.xlsx</w:t>
      </w:r>
    </w:p>
    <w:p>
      <w:pPr>
        <w:pStyle w:val="ListBullet"/>
        <w:spacing w:after="40"/>
      </w:pPr>
      <w:r>
        <w:t>P&amp;G FY2025 Form 10-K / annual report</w:t>
      </w:r>
    </w:p>
    <w:p>
      <w:pPr>
        <w:pStyle w:val="ListBullet"/>
        <w:spacing w:after="40"/>
      </w:pPr>
      <w:r>
        <w:t>Your final .py file</w:t>
      </w:r>
    </w:p>
    <w:p>
      <w:pPr>
        <w:pStyle w:val="ListBullet"/>
        <w:spacing w:after="40"/>
      </w:pPr>
      <w:r>
        <w:t>Four individual PNG visualizations</w:t>
      </w:r>
    </w:p>
    <w:p>
      <w:pPr>
        <w:pStyle w:val="ListBullet"/>
        <w:spacing w:after="40"/>
      </w:pPr>
      <w:r>
        <w:t>One combined dashboard PNG</w:t>
      </w:r>
    </w:p>
    <w:p>
      <w:pPr>
        <w:pStyle w:val="ListBullet"/>
        <w:spacing w:after="40"/>
      </w:pPr>
      <w:r>
        <w:t>Completed group report or slide/PDF as directed on Canvas</w:t>
      </w:r>
    </w:p>
    <w:p>
      <w:pPr>
        <w:pStyle w:val="Heading2"/>
      </w:pPr>
      <w:r>
        <w:t>Software</w:t>
      </w:r>
    </w:p>
    <w:p>
      <w:pPr>
        <w:pStyle w:val="CodeBlock"/>
      </w:pPr>
      <w:r>
        <w:t>pip install pandas matplotlib pillow openpyxl</w:t>
      </w:r>
    </w:p>
    <w:p>
      <w:r>
        <w:br w:type="page"/>
      </w:r>
    </w:p>
    <w:p>
      <w:pPr>
        <w:pStyle w:val="Heading1"/>
      </w:pPr>
      <w:r>
        <w:t>2. Required Visualization 1: Income Statement Sankey</w:t>
      </w:r>
    </w:p>
    <w:p>
      <w:r>
        <w:t>Create a width-proportional flow diagram showing where P&amp;G's FY2025 sales dollars went. At a minimum, the flow must reconcile through these stages:</w:t>
      </w:r>
    </w:p>
    <w:p>
      <w:pPr>
        <w:pStyle w:val="ListNumber"/>
        <w:spacing w:after="60"/>
      </w:pPr>
      <w:r>
        <w:t>Net Sales → Cost of Products Sold + Gross Profit</w:t>
      </w:r>
    </w:p>
    <w:p>
      <w:pPr>
        <w:pStyle w:val="ListNumber"/>
        <w:spacing w:after="60"/>
      </w:pPr>
      <w:r>
        <w:t>Gross Profit → SG&amp;A + Impairment Charge + Operating Income</w:t>
      </w:r>
    </w:p>
    <w:p>
      <w:pPr>
        <w:pStyle w:val="ListNumber"/>
        <w:spacing w:after="60"/>
      </w:pPr>
      <w:r>
        <w:t>Operating Income → Net Non-Operating Expense + Earnings Before Taxes</w:t>
      </w:r>
    </w:p>
    <w:p>
      <w:pPr>
        <w:pStyle w:val="ListNumber"/>
        <w:spacing w:after="60"/>
      </w:pPr>
      <w:r>
        <w:t>Earnings Before Taxes → Income Taxes + Net Earnings</w:t>
      </w:r>
    </w:p>
    <w:p>
      <w:pPr>
        <w:pStyle w:val="Heading2"/>
      </w:pPr>
      <w:r>
        <w:t>Required Labels</w:t>
      </w:r>
    </w:p>
    <w:p>
      <w:pPr>
        <w:pStyle w:val="ListBullet"/>
        <w:spacing w:after="40"/>
      </w:pPr>
      <w:r>
        <w:t>Dollar amount in USD billions or millions.</w:t>
      </w:r>
    </w:p>
    <w:p>
      <w:pPr>
        <w:pStyle w:val="ListBullet"/>
        <w:spacing w:after="40"/>
      </w:pPr>
      <w:r>
        <w:t>Percentage of net sales.</w:t>
      </w:r>
    </w:p>
    <w:p>
      <w:pPr>
        <w:pStyle w:val="ListBullet"/>
        <w:spacing w:after="40"/>
      </w:pPr>
      <w:r>
        <w:t>Clear distinction between operating and non-operating items.</w:t>
      </w:r>
    </w:p>
    <w:p>
      <w:pPr>
        <w:pStyle w:val="ListBullet"/>
        <w:spacing w:after="40"/>
      </w:pPr>
      <w:r>
        <w:t>Audited fiscal year and data source.</w:t>
      </w:r>
    </w:p>
    <w:p>
      <w:pPr>
        <w:pStyle w:val="Heading2"/>
      </w:pPr>
      <w:r>
        <w:t>Sankey Audit Questions</w:t>
      </w:r>
    </w:p>
    <w:p>
      <w:pPr>
        <w:pStyle w:val="ListBullet"/>
        <w:spacing w:after="40"/>
      </w:pPr>
      <w:r>
        <w:t>Does every source node equal the sum of its outgoing flows?</w:t>
      </w:r>
    </w:p>
    <w:p>
      <w:pPr>
        <w:pStyle w:val="ListBullet"/>
        <w:spacing w:after="40"/>
      </w:pPr>
      <w:r>
        <w:t>Does every target node equal the sum of its incoming flows?</w:t>
      </w:r>
    </w:p>
    <w:p>
      <w:pPr>
        <w:pStyle w:val="ListBullet"/>
        <w:spacing w:after="40"/>
      </w:pPr>
      <w:r>
        <w:t>Did AI place interest expense before or after EBIT?</w:t>
      </w:r>
    </w:p>
    <w:p>
      <w:pPr>
        <w:pStyle w:val="ListBullet"/>
        <w:spacing w:after="40"/>
      </w:pPr>
      <w:r>
        <w:t>Did AI confuse net earnings with net earnings attributable to P&amp;G?</w:t>
      </w:r>
    </w:p>
    <w:p>
      <w:r>
        <w:br w:type="page"/>
      </w:r>
    </w:p>
    <w:p>
      <w:pPr>
        <w:pStyle w:val="Heading1"/>
      </w:pPr>
      <w:r>
        <w:t>3. Required Visualization 2: Free Cash Flow Waterfall</w:t>
      </w:r>
    </w:p>
    <w:p>
      <w:r>
        <w:t>Build a waterfall that begins with EBIT and ends with P&amp;G adjusted free cash flow. You must show and label the distinction among textbook FCF, cash FCF, and P&amp;G adjusted FCF.</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tcPr>
          <w:p>
            <w:pPr>
              <w:jc w:val="center"/>
            </w:pPr>
            <w:r/>
            <w:r>
              <w:rPr>
                <w:b/>
                <w:color w:val="FFFFFF"/>
                <w:sz w:val="18"/>
              </w:rPr>
              <w:t>Required Step</w:t>
            </w:r>
          </w:p>
        </w:tc>
        <w:tc>
          <w:tcPr>
            <w:tcW w:type="dxa" w:w="7056"/>
            <w:shd w:fill="17365D"/>
          </w:tcPr>
          <w:p>
            <w:pPr>
              <w:jc w:val="center"/>
            </w:pPr>
            <w:r/>
            <w:r>
              <w:rPr>
                <w:b/>
                <w:color w:val="FFFFFF"/>
                <w:sz w:val="18"/>
              </w:rPr>
              <w:t>Required Formula / Definition</w:t>
            </w:r>
          </w:p>
        </w:tc>
      </w:tr>
      <w:tr>
        <w:tc>
          <w:tcPr>
            <w:tcW w:type="dxa" w:w="2880"/>
            <w:shd w:fill="F7F9FB"/>
          </w:tcPr>
          <w:p>
            <w:pPr>
              <w:jc w:val="left"/>
            </w:pPr>
            <w:r/>
            <w:r>
              <w:rPr>
                <w:b w:val="0"/>
                <w:sz w:val="18"/>
              </w:rPr>
              <w:t>Effective Tax Rate</w:t>
            </w:r>
          </w:p>
        </w:tc>
        <w:tc>
          <w:tcPr>
            <w:tcW w:type="dxa" w:w="7056"/>
            <w:shd w:fill="F7F9FB"/>
          </w:tcPr>
          <w:p>
            <w:pPr>
              <w:jc w:val="left"/>
            </w:pPr>
            <w:r/>
            <w:r>
              <w:rPr>
                <w:b w:val="0"/>
                <w:sz w:val="18"/>
              </w:rPr>
              <w:t>Income Taxes / Earnings Before Taxes</w:t>
            </w:r>
          </w:p>
        </w:tc>
      </w:tr>
      <w:tr>
        <w:tc>
          <w:tcPr>
            <w:tcW w:type="dxa" w:w="2880"/>
          </w:tcPr>
          <w:p>
            <w:pPr>
              <w:jc w:val="left"/>
            </w:pPr>
            <w:r/>
            <w:r>
              <w:rPr>
                <w:b w:val="0"/>
                <w:sz w:val="18"/>
              </w:rPr>
              <w:t>NOPAT</w:t>
            </w:r>
          </w:p>
        </w:tc>
        <w:tc>
          <w:tcPr>
            <w:tcW w:type="dxa" w:w="7056"/>
          </w:tcPr>
          <w:p>
            <w:pPr>
              <w:jc w:val="left"/>
            </w:pPr>
            <w:r/>
            <w:r>
              <w:rPr>
                <w:b w:val="0"/>
                <w:sz w:val="18"/>
              </w:rPr>
              <w:t>EBIT × (1 - Effective Tax Rate)</w:t>
            </w:r>
          </w:p>
        </w:tc>
      </w:tr>
      <w:tr>
        <w:tc>
          <w:tcPr>
            <w:tcW w:type="dxa" w:w="2880"/>
            <w:shd w:fill="F7F9FB"/>
          </w:tcPr>
          <w:p>
            <w:pPr>
              <w:jc w:val="left"/>
            </w:pPr>
            <w:r/>
            <w:r>
              <w:rPr>
                <w:b w:val="0"/>
                <w:sz w:val="18"/>
              </w:rPr>
              <w:t>Operating NOWC</w:t>
            </w:r>
          </w:p>
        </w:tc>
        <w:tc>
          <w:tcPr>
            <w:tcW w:type="dxa" w:w="7056"/>
            <w:shd w:fill="F7F9FB"/>
          </w:tcPr>
          <w:p>
            <w:pPr>
              <w:jc w:val="left"/>
            </w:pPr>
            <w:r/>
            <w:r>
              <w:rPr>
                <w:b w:val="0"/>
                <w:sz w:val="18"/>
              </w:rPr>
              <w:t>AR + Inventory + Prepaids - AP - Accrued Operating Liabilities</w:t>
            </w:r>
          </w:p>
        </w:tc>
      </w:tr>
      <w:tr>
        <w:tc>
          <w:tcPr>
            <w:tcW w:type="dxa" w:w="2880"/>
          </w:tcPr>
          <w:p>
            <w:pPr>
              <w:jc w:val="left"/>
            </w:pPr>
            <w:r/>
            <w:r>
              <w:rPr>
                <w:b w:val="0"/>
                <w:sz w:val="18"/>
              </w:rPr>
              <w:t>Change in NOWC</w:t>
            </w:r>
          </w:p>
        </w:tc>
        <w:tc>
          <w:tcPr>
            <w:tcW w:type="dxa" w:w="7056"/>
          </w:tcPr>
          <w:p>
            <w:pPr>
              <w:jc w:val="left"/>
            </w:pPr>
            <w:r/>
            <w:r>
              <w:rPr>
                <w:b w:val="0"/>
                <w:sz w:val="18"/>
              </w:rPr>
              <w:t>FY2025 Operating NOWC - FY2024 Operating NOWC</w:t>
            </w:r>
          </w:p>
        </w:tc>
      </w:tr>
      <w:tr>
        <w:tc>
          <w:tcPr>
            <w:tcW w:type="dxa" w:w="2880"/>
            <w:shd w:fill="F7F9FB"/>
          </w:tcPr>
          <w:p>
            <w:pPr>
              <w:jc w:val="left"/>
            </w:pPr>
            <w:r/>
            <w:r>
              <w:rPr>
                <w:b w:val="0"/>
                <w:sz w:val="18"/>
              </w:rPr>
              <w:t>Textbook FCF</w:t>
            </w:r>
          </w:p>
        </w:tc>
        <w:tc>
          <w:tcPr>
            <w:tcW w:type="dxa" w:w="7056"/>
            <w:shd w:fill="F7F9FB"/>
          </w:tcPr>
          <w:p>
            <w:pPr>
              <w:jc w:val="left"/>
            </w:pPr>
            <w:r/>
            <w:r>
              <w:rPr>
                <w:b w:val="0"/>
                <w:sz w:val="18"/>
              </w:rPr>
              <w:t>NOPAT + D&amp;A - CapEx - Change in NOWC</w:t>
            </w:r>
          </w:p>
        </w:tc>
      </w:tr>
      <w:tr>
        <w:tc>
          <w:tcPr>
            <w:tcW w:type="dxa" w:w="2880"/>
          </w:tcPr>
          <w:p>
            <w:pPr>
              <w:jc w:val="left"/>
            </w:pPr>
            <w:r/>
            <w:r>
              <w:rPr>
                <w:b w:val="0"/>
                <w:sz w:val="18"/>
              </w:rPr>
              <w:t>Cash FCF</w:t>
            </w:r>
          </w:p>
        </w:tc>
        <w:tc>
          <w:tcPr>
            <w:tcW w:type="dxa" w:w="7056"/>
          </w:tcPr>
          <w:p>
            <w:pPr>
              <w:jc w:val="left"/>
            </w:pPr>
            <w:r/>
            <w:r>
              <w:rPr>
                <w:b w:val="0"/>
                <w:sz w:val="18"/>
              </w:rPr>
              <w:t>Cash Flow from Operations - CapEx</w:t>
            </w:r>
          </w:p>
        </w:tc>
      </w:tr>
      <w:tr>
        <w:tc>
          <w:tcPr>
            <w:tcW w:type="dxa" w:w="2880"/>
            <w:shd w:fill="F7F9FB"/>
          </w:tcPr>
          <w:p>
            <w:pPr>
              <w:jc w:val="left"/>
            </w:pPr>
            <w:r/>
            <w:r>
              <w:rPr>
                <w:b w:val="0"/>
                <w:sz w:val="18"/>
              </w:rPr>
              <w:t>Other Operating Adjustments</w:t>
            </w:r>
          </w:p>
        </w:tc>
        <w:tc>
          <w:tcPr>
            <w:tcW w:type="dxa" w:w="7056"/>
            <w:shd w:fill="F7F9FB"/>
          </w:tcPr>
          <w:p>
            <w:pPr>
              <w:jc w:val="left"/>
            </w:pPr>
            <w:r/>
            <w:r>
              <w:rPr>
                <w:b w:val="0"/>
                <w:sz w:val="18"/>
              </w:rPr>
              <w:t>Cash FCF - Textbook FCF</w:t>
            </w:r>
          </w:p>
        </w:tc>
      </w:tr>
      <w:tr>
        <w:tc>
          <w:tcPr>
            <w:tcW w:type="dxa" w:w="2880"/>
          </w:tcPr>
          <w:p>
            <w:pPr>
              <w:jc w:val="left"/>
            </w:pPr>
            <w:r/>
            <w:r>
              <w:rPr>
                <w:b w:val="0"/>
                <w:sz w:val="18"/>
              </w:rPr>
              <w:t>P&amp;G Adjusted FCF</w:t>
            </w:r>
          </w:p>
        </w:tc>
        <w:tc>
          <w:tcPr>
            <w:tcW w:type="dxa" w:w="7056"/>
          </w:tcPr>
          <w:p>
            <w:pPr>
              <w:jc w:val="left"/>
            </w:pPr>
            <w:r/>
            <w:r>
              <w:rPr>
                <w:b w:val="0"/>
                <w:sz w:val="18"/>
              </w:rPr>
              <w:t>Cash FCF + 2017 U.S. Tax Act Payment Add-back</w:t>
            </w:r>
          </w:p>
        </w:tc>
      </w:tr>
    </w:tbl>
    <w:p>
      <w:pPr>
        <w:pStyle w:val="Heading2"/>
      </w:pPr>
      <w:r>
        <w:t>Required Explanation</w:t>
      </w:r>
    </w:p>
    <w:p>
      <w:r>
        <w:t>Explain why textbook FCF and cash FCF are not identical and why P&amp;G adjusted FCF is a non-GAAP measure. Do not hide the reconciliation residual.</w:t>
      </w:r>
    </w:p>
    <w:p>
      <w:r>
        <w:br w:type="page"/>
      </w:r>
    </w:p>
    <w:p>
      <w:pPr>
        <w:pStyle w:val="Heading1"/>
      </w:pPr>
      <w:r>
        <w:t>4. Required Visualization 3: Five-Year Revenue and EPS Trend</w:t>
      </w:r>
    </w:p>
    <w:p>
      <w:r>
        <w:t>Create one visualization covering FY2021-FY2025. Show net sales and GAAP diluted EPS. Display both series clearly even though they use different units.</w:t>
      </w:r>
    </w:p>
    <w:p>
      <w:pPr>
        <w:pStyle w:val="ListBullet"/>
        <w:spacing w:after="40"/>
      </w:pPr>
      <w:r>
        <w:t>Use the fiscal-year values in the 01_Input worksheet.</w:t>
      </w:r>
    </w:p>
    <w:p>
      <w:pPr>
        <w:pStyle w:val="ListBullet"/>
        <w:spacing w:after="40"/>
      </w:pPr>
      <w:r>
        <w:t>Calculate net sales CAGR and diluted EPS CAGR over four intervals.</w:t>
      </w:r>
    </w:p>
    <w:p>
      <w:pPr>
        <w:pStyle w:val="ListBullet"/>
        <w:spacing w:after="40"/>
      </w:pPr>
      <w:r>
        <w:t>Explain which metric grew faster.</w:t>
      </w:r>
    </w:p>
    <w:p>
      <w:pPr>
        <w:pStyle w:val="ListBullet"/>
        <w:spacing w:after="40"/>
      </w:pPr>
      <w:r>
        <w:t>Identify at least two reasons EPS growth can differ from revenue growth.</w:t>
      </w:r>
    </w:p>
    <w:p>
      <w:pPr>
        <w:pStyle w:val="ListBullet"/>
        <w:spacing w:after="40"/>
      </w:pPr>
      <w:r>
        <w:t>Do not mix GAAP diluted EPS with core/non-GAAP EPS.</w:t>
      </w:r>
    </w:p>
    <w:p>
      <w:pPr>
        <w:pStyle w:val="Heading2"/>
      </w:pPr>
      <w:r>
        <w:t>Required CAGR Formulas</w:t>
      </w:r>
    </w:p>
    <w:p>
      <w:pPr>
        <w:pStyle w:val="CodeBlock"/>
      </w:pPr>
      <w:r>
        <w:t>Net Sales CAGR = (FY2025 Net Sales / FY2021 Net Sales)^(1/4) - 1</w:t>
      </w:r>
    </w:p>
    <w:p>
      <w:pPr>
        <w:pStyle w:val="CodeBlock"/>
      </w:pPr>
      <w:r>
        <w:t>Diluted EPS CAGR = (FY2025 Diluted EPS / FY2021 Diluted EPS)^(1/4) - 1</w:t>
      </w:r>
    </w:p>
    <w:p>
      <w:r>
        <w:br w:type="page"/>
      </w:r>
    </w:p>
    <w:p>
      <w:pPr>
        <w:pStyle w:val="Heading1"/>
      </w:pPr>
      <w:r>
        <w:t>5. Required Visualization 4: DuPont ROE Decomposition</w:t>
      </w:r>
    </w:p>
    <w:p>
      <w:r>
        <w:t>Use the simplified consolidated DuPont formula shown below. Use average FY2024/FY2025 assets and equity.</w:t>
      </w:r>
    </w:p>
    <w:p>
      <w:pPr>
        <w:jc w:val="center"/>
      </w:pPr>
      <w:r>
        <w:rPr>
          <w:b/>
          <w:color w:val="17365D"/>
          <w:sz w:val="28"/>
        </w:rPr>
        <w:t>ROE = Profit Margin × Total Asset Turnover × Equity Multiplier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65D"/>
          </w:tcPr>
          <w:p>
            <w:pPr>
              <w:jc w:val="center"/>
            </w:pPr>
            <w:r/>
            <w:r>
              <w:rPr>
                <w:b/>
                <w:color w:val="FFFFFF"/>
                <w:sz w:val="18"/>
              </w:rPr>
              <w:t>Factor</w:t>
            </w:r>
          </w:p>
        </w:tc>
        <w:tc>
          <w:tcPr>
            <w:tcW w:type="dxa" w:w="6912"/>
            <w:shd w:fill="17365D"/>
          </w:tcPr>
          <w:p>
            <w:pPr>
              <w:jc w:val="center"/>
            </w:pPr>
            <w:r/>
            <w:r>
              <w:rPr>
                <w:b/>
                <w:color w:val="FFFFFF"/>
                <w:sz w:val="18"/>
              </w:rPr>
              <w:t>Formula</w:t>
            </w:r>
          </w:p>
        </w:tc>
      </w:tr>
      <w:tr>
        <w:tc>
          <w:tcPr>
            <w:tcW w:type="dxa" w:w="3024"/>
            <w:shd w:fill="F7F9FB"/>
          </w:tcPr>
          <w:p>
            <w:pPr>
              <w:jc w:val="left"/>
            </w:pPr>
            <w:r/>
            <w:r>
              <w:rPr>
                <w:b w:val="0"/>
                <w:sz w:val="18"/>
              </w:rPr>
              <w:t>Profit Margin</w:t>
            </w:r>
          </w:p>
        </w:tc>
        <w:tc>
          <w:tcPr>
            <w:tcW w:type="dxa" w:w="6912"/>
            <w:shd w:fill="F7F9FB"/>
          </w:tcPr>
          <w:p>
            <w:pPr>
              <w:jc w:val="left"/>
            </w:pPr>
            <w:r/>
            <w:r>
              <w:rPr>
                <w:b w:val="0"/>
                <w:sz w:val="18"/>
              </w:rPr>
              <w:t>Net Earnings / Net Sales</w:t>
            </w:r>
          </w:p>
        </w:tc>
      </w:tr>
      <w:tr>
        <w:tc>
          <w:tcPr>
            <w:tcW w:type="dxa" w:w="3024"/>
          </w:tcPr>
          <w:p>
            <w:pPr>
              <w:jc w:val="left"/>
            </w:pPr>
            <w:r/>
            <w:r>
              <w:rPr>
                <w:b w:val="0"/>
                <w:sz w:val="18"/>
              </w:rPr>
              <w:t>Total Asset Turnover</w:t>
            </w:r>
          </w:p>
        </w:tc>
        <w:tc>
          <w:tcPr>
            <w:tcW w:type="dxa" w:w="6912"/>
          </w:tcPr>
          <w:p>
            <w:pPr>
              <w:jc w:val="left"/>
            </w:pPr>
            <w:r/>
            <w:r>
              <w:rPr>
                <w:b w:val="0"/>
                <w:sz w:val="18"/>
              </w:rPr>
              <w:t>Net Sales / Average Total Assets</w:t>
            </w:r>
          </w:p>
        </w:tc>
      </w:tr>
      <w:tr>
        <w:tc>
          <w:tcPr>
            <w:tcW w:type="dxa" w:w="3024"/>
            <w:shd w:fill="F7F9FB"/>
          </w:tcPr>
          <w:p>
            <w:pPr>
              <w:jc w:val="left"/>
            </w:pPr>
            <w:r/>
            <w:r>
              <w:rPr>
                <w:b w:val="0"/>
                <w:sz w:val="18"/>
              </w:rPr>
              <w:t>Equity Multiplier</w:t>
            </w:r>
          </w:p>
        </w:tc>
        <w:tc>
          <w:tcPr>
            <w:tcW w:type="dxa" w:w="6912"/>
            <w:shd w:fill="F7F9FB"/>
          </w:tcPr>
          <w:p>
            <w:pPr>
              <w:jc w:val="left"/>
            </w:pPr>
            <w:r/>
            <w:r>
              <w:rPr>
                <w:b w:val="0"/>
                <w:sz w:val="18"/>
              </w:rPr>
              <w:t>Average Total Assets / Average Total Shareholders' Equity</w:t>
            </w:r>
          </w:p>
        </w:tc>
      </w:tr>
      <w:tr>
        <w:tc>
          <w:tcPr>
            <w:tcW w:type="dxa" w:w="3024"/>
          </w:tcPr>
          <w:p>
            <w:pPr>
              <w:jc w:val="left"/>
            </w:pPr>
            <w:r/>
            <w:r>
              <w:rPr>
                <w:b w:val="0"/>
                <w:sz w:val="18"/>
              </w:rPr>
              <w:t>Direct ROE Check</w:t>
            </w:r>
          </w:p>
        </w:tc>
        <w:tc>
          <w:tcPr>
            <w:tcW w:type="dxa" w:w="6912"/>
          </w:tcPr>
          <w:p>
            <w:pPr>
              <w:jc w:val="left"/>
            </w:pPr>
            <w:r/>
            <w:r>
              <w:rPr>
                <w:b w:val="0"/>
                <w:sz w:val="18"/>
              </w:rPr>
              <w:t>Net Earnings / Average Total Shareholders' Equity</w:t>
            </w:r>
          </w:p>
        </w:tc>
      </w:tr>
    </w:tbl>
    <w:p>
      <w:pPr>
        <w:pStyle w:val="Heading2"/>
      </w:pPr>
      <w:r>
        <w:t>Required Interpretation</w:t>
      </w:r>
    </w:p>
    <w:p>
      <w:pPr>
        <w:pStyle w:val="ListBullet"/>
        <w:spacing w:after="40"/>
      </w:pPr>
      <w:r>
        <w:t>State which factor contributes most to the calculated ROE.</w:t>
      </w:r>
    </w:p>
    <w:p>
      <w:pPr>
        <w:pStyle w:val="ListBullet"/>
        <w:spacing w:after="40"/>
      </w:pPr>
      <w:r>
        <w:t>Explain why leverage can increase both ROE and risk.</w:t>
      </w:r>
    </w:p>
    <w:p>
      <w:pPr>
        <w:pStyle w:val="ListBullet"/>
        <w:spacing w:after="40"/>
      </w:pPr>
      <w:r>
        <w:t>Confirm that the product of the three factors equals direct ROE.</w:t>
      </w:r>
    </w:p>
    <w:p>
      <w:pPr>
        <w:pStyle w:val="ListBullet"/>
        <w:spacing w:after="40"/>
      </w:pPr>
      <w:r>
        <w:t>Explain why average balance-sheet values are preferable to ending values for this analysis.</w:t>
      </w:r>
    </w:p>
    <w:p>
      <w:r>
        <w:br w:type="page"/>
      </w:r>
    </w:p>
    <w:p>
      <w:pPr>
        <w:pStyle w:val="Heading1"/>
      </w:pPr>
      <w:r>
        <w:t>6. Required AI Prompt and REM Comments</w:t>
      </w:r>
    </w:p>
    <w:p>
      <w:r>
        <w:t>Submit the exact prompt or prompt sequence used to create the final program. The program must begin with a REM block. REM means concise, auditable documentation—not private chain-of-thought.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65D"/>
          </w:tcPr>
          <w:p>
            <w:pPr>
              <w:jc w:val="center"/>
            </w:pPr>
            <w:r/>
            <w:r>
              <w:rPr>
                <w:b/>
                <w:color w:val="FFFFFF"/>
                <w:sz w:val="18"/>
              </w:rPr>
              <w:t>REM Section</w:t>
            </w:r>
          </w:p>
        </w:tc>
        <w:tc>
          <w:tcPr>
            <w:tcW w:type="dxa" w:w="7632"/>
            <w:shd w:fill="17365D"/>
          </w:tcPr>
          <w:p>
            <w:pPr>
              <w:jc w:val="center"/>
            </w:pPr>
            <w:r/>
            <w:r>
              <w:rPr>
                <w:b/>
                <w:color w:val="FFFFFF"/>
                <w:sz w:val="18"/>
              </w:rPr>
              <w:t>Required Content</w:t>
            </w:r>
          </w:p>
        </w:tc>
      </w:tr>
      <w:tr>
        <w:tc>
          <w:tcPr>
            <w:tcW w:type="dxa" w:w="2304"/>
            <w:shd w:fill="F7F9FB"/>
          </w:tcPr>
          <w:p>
            <w:pPr>
              <w:jc w:val="left"/>
            </w:pPr>
            <w:r/>
            <w:r>
              <w:rPr>
                <w:b w:val="0"/>
                <w:sz w:val="18"/>
              </w:rPr>
              <w:t>Reasoning Summary</w:t>
            </w:r>
          </w:p>
        </w:tc>
        <w:tc>
          <w:tcPr>
            <w:tcW w:type="dxa" w:w="7632"/>
            <w:shd w:fill="F7F9FB"/>
          </w:tcPr>
          <w:p>
            <w:pPr>
              <w:jc w:val="left"/>
            </w:pPr>
            <w:r/>
            <w:r>
              <w:rPr>
                <w:b w:val="0"/>
                <w:sz w:val="18"/>
              </w:rPr>
              <w:t>What the program is designed to accomplish and how the four visuals fit together.</w:t>
            </w:r>
          </w:p>
        </w:tc>
      </w:tr>
      <w:tr>
        <w:tc>
          <w:tcPr>
            <w:tcW w:type="dxa" w:w="2304"/>
          </w:tcPr>
          <w:p>
            <w:pPr>
              <w:jc w:val="left"/>
            </w:pPr>
            <w:r/>
            <w:r>
              <w:rPr>
                <w:b w:val="0"/>
                <w:sz w:val="18"/>
              </w:rPr>
              <w:t>Equations</w:t>
            </w:r>
          </w:p>
        </w:tc>
        <w:tc>
          <w:tcPr>
            <w:tcW w:type="dxa" w:w="7632"/>
          </w:tcPr>
          <w:p>
            <w:pPr>
              <w:jc w:val="left"/>
            </w:pPr>
            <w:r/>
            <w:r>
              <w:rPr>
                <w:b w:val="0"/>
                <w:sz w:val="18"/>
              </w:rPr>
              <w:t>All financial formulas and sign conventions.</w:t>
            </w:r>
          </w:p>
        </w:tc>
      </w:tr>
      <w:tr>
        <w:tc>
          <w:tcPr>
            <w:tcW w:type="dxa" w:w="2304"/>
            <w:shd w:fill="F7F9FB"/>
          </w:tcPr>
          <w:p>
            <w:pPr>
              <w:jc w:val="left"/>
            </w:pPr>
            <w:r/>
            <w:r>
              <w:rPr>
                <w:b w:val="0"/>
                <w:sz w:val="18"/>
              </w:rPr>
              <w:t>Method</w:t>
            </w:r>
          </w:p>
        </w:tc>
        <w:tc>
          <w:tcPr>
            <w:tcW w:type="dxa" w:w="7632"/>
            <w:shd w:fill="F7F9FB"/>
          </w:tcPr>
          <w:p>
            <w:pPr>
              <w:jc w:val="left"/>
            </w:pPr>
            <w:r/>
            <w:r>
              <w:rPr>
                <w:b w:val="0"/>
                <w:sz w:val="18"/>
              </w:rPr>
              <w:t>How the workbook is read, validated, calculated, charted, and exported.</w:t>
            </w:r>
          </w:p>
        </w:tc>
      </w:tr>
      <w:tr>
        <w:tc>
          <w:tcPr>
            <w:tcW w:type="dxa" w:w="2304"/>
          </w:tcPr>
          <w:p>
            <w:pPr>
              <w:jc w:val="left"/>
            </w:pPr>
            <w:r/>
            <w:r>
              <w:rPr>
                <w:b w:val="0"/>
                <w:sz w:val="18"/>
              </w:rPr>
              <w:t>Limitations</w:t>
            </w:r>
          </w:p>
        </w:tc>
        <w:tc>
          <w:tcPr>
            <w:tcW w:type="dxa" w:w="7632"/>
          </w:tcPr>
          <w:p>
            <w:pPr>
              <w:jc w:val="left"/>
            </w:pPr>
            <w:r/>
            <w:r>
              <w:rPr>
                <w:b w:val="0"/>
                <w:sz w:val="18"/>
              </w:rPr>
              <w:t>Definitions, approximations, non-GAAP measures, and risks of misleading output.</w:t>
            </w:r>
          </w:p>
        </w:tc>
      </w:tr>
    </w:tbl>
    <w:p>
      <w:pPr>
        <w:pStyle w:val="Heading2"/>
      </w:pPr>
      <w:r>
        <w:t>Code Comment Standard</w:t>
      </w:r>
    </w:p>
    <w:p>
      <w:pPr>
        <w:pStyle w:val="ListBullet"/>
        <w:spacing w:after="40"/>
      </w:pPr>
      <w:r>
        <w:t>Comment every major function.</w:t>
      </w:r>
    </w:p>
    <w:p>
      <w:pPr>
        <w:pStyle w:val="ListBullet"/>
        <w:spacing w:after="40"/>
      </w:pPr>
      <w:r>
        <w:t>Use descriptive variable names.</w:t>
      </w:r>
    </w:p>
    <w:p>
      <w:pPr>
        <w:pStyle w:val="ListBullet"/>
        <w:spacing w:after="40"/>
      </w:pPr>
      <w:r>
        <w:t>Do not hard-code unexplained numbers inside chart functions.</w:t>
      </w:r>
    </w:p>
    <w:p>
      <w:pPr>
        <w:pStyle w:val="ListBullet"/>
        <w:spacing w:after="40"/>
      </w:pPr>
      <w:r>
        <w:t>Use Metric_ID values rather than fragile row numbers whenever possible.</w:t>
      </w:r>
    </w:p>
    <w:p>
      <w:pPr>
        <w:pStyle w:val="ListBullet"/>
        <w:spacing w:after="40"/>
      </w:pPr>
      <w:r>
        <w:t>Stop or warn the user if a sanity check fails.</w:t>
      </w:r>
    </w:p>
    <w:p>
      <w:pPr>
        <w:pStyle w:val="ListBullet"/>
        <w:spacing w:after="40"/>
      </w:pPr>
      <w:r>
        <w:t>Use relative or command-line file paths rather than a personal computer path.</w:t>
      </w:r>
    </w:p>
    <w:p>
      <w:r>
        <w:br w:type="page"/>
      </w:r>
    </w:p>
    <w:p>
      <w:pPr>
        <w:pStyle w:val="Heading1"/>
      </w:pPr>
      <w:r>
        <w:t>7. AI Verification and Sanity Check Requirements</w:t>
      </w:r>
    </w:p>
    <w:p>
      <w:r>
        <w:t>Complete the 07_AI_Verification worksheet. Enter the values printed by AI or displayed in your charts. A 'PASS' cell is evidence only when the formula and source value are also correct.</w:t>
      </w:r>
    </w:p>
    <w:p>
      <w:pPr>
        <w:pStyle w:val="ListBullet"/>
        <w:spacing w:after="40"/>
      </w:pPr>
      <w:r>
        <w:t>Verify all major income-statement values.</w:t>
      </w:r>
    </w:p>
    <w:p>
      <w:pPr>
        <w:pStyle w:val="ListBullet"/>
        <w:spacing w:after="40"/>
      </w:pPr>
      <w:r>
        <w:t>Verify cash flow from operations, capital expenditures, and adjusted FCF.</w:t>
      </w:r>
    </w:p>
    <w:p>
      <w:pPr>
        <w:pStyle w:val="ListBullet"/>
        <w:spacing w:after="40"/>
      </w:pPr>
      <w:r>
        <w:t>Verify profit margin, asset turnover, equity multiplier, and ROE.</w:t>
      </w:r>
    </w:p>
    <w:p>
      <w:pPr>
        <w:pStyle w:val="ListBullet"/>
        <w:spacing w:after="40"/>
      </w:pPr>
      <w:r>
        <w:t>Verify net sales CAGR and diluted EPS CAGR.</w:t>
      </w:r>
    </w:p>
    <w:p>
      <w:pPr>
        <w:pStyle w:val="ListBullet"/>
        <w:spacing w:after="40"/>
      </w:pPr>
      <w:r>
        <w:t>Document one AI assumption that required human judgment.</w:t>
      </w:r>
    </w:p>
    <w:p>
      <w:pPr>
        <w:pStyle w:val="ListBullet"/>
        <w:spacing w:after="40"/>
      </w:pPr>
      <w:r>
        <w:t>Document one numerical, code, or labeling correction.</w:t>
      </w:r>
    </w:p>
    <w:p>
      <w:pPr>
        <w:pStyle w:val="ListBullet"/>
        <w:spacing w:after="40"/>
      </w:pPr>
      <w:r>
        <w:t>Explain one way the code could silently produce a misleading chart.</w:t>
      </w:r>
    </w:p>
    <w:p>
      <w:pPr>
        <w:pStyle w:val="Heading2"/>
      </w:pPr>
      <w:r>
        <w:t>Required Code Annotation</w:t>
      </w:r>
    </w:p>
    <w:p>
      <w:r>
        <w:t>Print the complete final Python program. Annotate it by hand or with Word comments. For each major function, identify the inputs, calculations, outputs, and at least one possible failure.</w:t>
      </w:r>
    </w:p>
    <w:p>
      <w:r>
        <w:br w:type="page"/>
      </w:r>
    </w:p>
    <w:p>
      <w:pPr>
        <w:pStyle w:val="Heading1"/>
      </w:pPr>
      <w:r>
        <w:t>8. Submission Package</w:t>
      </w:r>
    </w:p>
    <w:p>
      <w:pPr>
        <w:spacing w:after="40"/>
        <w:ind w:left="403" w:hanging="288"/>
      </w:pPr>
      <w:r>
        <w:t>1.  Completed PG_FinancialStory_Student.xlsx.</w:t>
      </w:r>
    </w:p>
    <w:p>
      <w:pPr>
        <w:spacing w:after="40"/>
        <w:ind w:left="403" w:hanging="288"/>
      </w:pPr>
      <w:r>
        <w:t>2.  One executable Python .py file.</w:t>
      </w:r>
    </w:p>
    <w:p>
      <w:pPr>
        <w:spacing w:after="40"/>
        <w:ind w:left="403" w:hanging="288"/>
      </w:pPr>
      <w:r>
        <w:t>3.  Four individual PNG visualizations.</w:t>
      </w:r>
    </w:p>
    <w:p>
      <w:pPr>
        <w:spacing w:after="40"/>
        <w:ind w:left="403" w:hanging="288"/>
      </w:pPr>
      <w:r>
        <w:t>4.  One combined one-page dashboard PNG.</w:t>
      </w:r>
    </w:p>
    <w:p>
      <w:pPr>
        <w:spacing w:after="40"/>
        <w:ind w:left="403" w:hanging="288"/>
      </w:pPr>
      <w:r>
        <w:t>5.  A PDF or Word report containing the AI prompt, REM block, code annotation, verification log, and two-page financial interpretation.</w:t>
      </w:r>
    </w:p>
    <w:p>
      <w:pPr>
        <w:spacing w:after="40"/>
        <w:ind w:left="403" w:hanging="288"/>
      </w:pPr>
      <w:r>
        <w:t>6.  A five-minute presentation in which every team member participates.</w:t>
      </w:r>
    </w:p>
    <w:p>
      <w:pPr>
        <w:pStyle w:val="Heading2"/>
      </w:pPr>
      <w:r>
        <w:t>Financial Interpretation Questions</w:t>
      </w:r>
    </w:p>
    <w:p>
      <w:pPr>
        <w:pStyle w:val="ListBullet"/>
        <w:spacing w:after="40"/>
      </w:pPr>
      <w:r>
        <w:t>What is the most important operating insight from the Sankey?</w:t>
      </w:r>
    </w:p>
    <w:p>
      <w:pPr>
        <w:pStyle w:val="ListBullet"/>
        <w:spacing w:after="40"/>
      </w:pPr>
      <w:r>
        <w:t>What does the FCF reconciliation reveal that net income alone does not?</w:t>
      </w:r>
    </w:p>
    <w:p>
      <w:pPr>
        <w:pStyle w:val="ListBullet"/>
        <w:spacing w:after="40"/>
      </w:pPr>
      <w:r>
        <w:t>Why did diluted EPS grow faster or slower than net sales?</w:t>
      </w:r>
    </w:p>
    <w:p>
      <w:pPr>
        <w:pStyle w:val="ListBullet"/>
        <w:spacing w:after="40"/>
      </w:pPr>
      <w:r>
        <w:t>What does DuPont reveal about profitability, efficiency, and leverage?</w:t>
      </w:r>
    </w:p>
    <w:p>
      <w:pPr>
        <w:pStyle w:val="ListBullet"/>
        <w:spacing w:after="40"/>
      </w:pPr>
      <w:r>
        <w:t>What is one risk or limitation that the dashboard does not capture?</w:t>
      </w:r>
    </w:p>
    <w:p>
      <w:pPr>
        <w:pStyle w:val="Heading2"/>
      </w:pPr>
      <w:r>
        <w:t>Submission Standard</w:t>
      </w:r>
    </w:p>
    <w:p>
      <w:r>
        <w:t>A technically attractive chart that does not reconcile to the audited data is not acceptable. A correct answer that no team member can explain is also not acceptable.</w:t>
      </w:r>
    </w:p>
    <w:p>
      <w:pPr>
        <w:pStyle w:val="Heading2"/>
      </w:pPr>
      <w:r>
        <w:t>Academic Integrity and AI</w:t>
      </w:r>
    </w:p>
    <w:p>
      <w:r>
        <w:t>AI use is permitted and required for this assignment. Undisclosed AI use, invented data, fabricated source citations, or submission of code the team cannot explain may be treated as an academic-integrity issue.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00"/>
      </w:tabs>
      <w:jc w:val="right"/>
    </w:pPr>
    <w:r/>
    <w:r>
      <w:rPr>
        <w:color w:val="666666"/>
        <w:sz w:val="16"/>
      </w:rPr>
      <w:t>University course material | Procter &amp; Gamble FY2025</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666666"/>
        <w:sz w:val="17"/>
      </w:rPr>
      <w:t>FINC 310 | P&amp;G Financial Story Dashboard - Student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