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200"/>
      </w:pPr>
      <w:r>
        <w:rPr>
          <w:rFonts w:ascii="Calibri" w:hAnsi="Calibri"/>
          <w:b/>
          <w:color w:val="2E74B5"/>
          <w:sz w:val="21"/>
        </w:rPr>
        <w:t>FINC 310 INSTRUCTOR GUIDE</w:t>
      </w:r>
    </w:p>
    <w:p>
      <w:pPr>
        <w:spacing w:after="160"/>
      </w:pPr>
      <w:r>
        <w:rPr>
          <w:rFonts w:ascii="Calibri" w:hAnsi="Calibri"/>
          <w:b/>
          <w:color w:val="0B2545"/>
          <w:sz w:val="58"/>
        </w:rPr>
        <w:t>Teaching the P&amp;G Financial Story</w:t>
      </w:r>
    </w:p>
    <w:p>
      <w:pPr>
        <w:spacing w:after="480"/>
      </w:pPr>
      <w:r>
        <w:rPr>
          <w:rFonts w:ascii="Calibri" w:hAnsi="Calibri"/>
          <w:color w:val="4B5563"/>
          <w:sz w:val="28"/>
        </w:rPr>
        <w:t>A flexible 2-4 hour classroom plan for financial concepts, AI-assisted Python, verification, and student presentations.</w:t>
      </w:r>
    </w:p>
    <w:tbl>
      <w:tblPr>
        <w:tblW w:type="dxa" w:w="9360"/>
        <w:jc w:val="left"/>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400"/>
        <w:gridCol w:w="6960"/>
      </w:tblGrid>
      <w:tr>
        <w:tc>
          <w:tcPr>
            <w:tcW w:type="dxa" w:w="2400"/>
            <w:vAlign w:val="center"/>
            <w:tcMar>
              <w:top w:w="80" w:type="dxa"/>
              <w:start w:w="120" w:type="dxa"/>
              <w:bottom w:w="80" w:type="dxa"/>
              <w:end w:w="120" w:type="dxa"/>
            </w:tcMar>
            <w:shd w:fill="E8EEF5"/>
          </w:tcPr>
          <w:p>
            <w:pPr>
              <w:spacing w:after="0"/>
            </w:pPr>
            <w:r>
              <w:rPr>
                <w:rFonts w:ascii="Calibri" w:hAnsi="Calibri"/>
                <w:b/>
                <w:color w:val="0B2545"/>
                <w:sz w:val="20"/>
              </w:rPr>
              <w:t>Audience</w:t>
            </w:r>
          </w:p>
        </w:tc>
        <w:tc>
          <w:tcPr>
            <w:tcW w:type="dxa" w:w="6960"/>
            <w:vAlign w:val="center"/>
            <w:tcMar>
              <w:top w:w="80" w:type="dxa"/>
              <w:start w:w="120" w:type="dxa"/>
              <w:bottom w:w="80" w:type="dxa"/>
              <w:end w:w="120" w:type="dxa"/>
            </w:tcMar>
            <w:shd w:fill="F3F8FC"/>
          </w:tcPr>
          <w:p>
            <w:pPr>
              <w:spacing w:after="0"/>
            </w:pPr>
            <w:r>
              <w:rPr>
                <w:rFonts w:ascii="Calibri" w:hAnsi="Calibri"/>
                <w:color w:val="000000"/>
                <w:sz w:val="21"/>
              </w:rPr>
              <w:t>FINC 310 students after or during Chapters 1-8</w:t>
            </w:r>
          </w:p>
        </w:tc>
      </w:tr>
      <w:tr>
        <w:tc>
          <w:tcPr>
            <w:tcW w:type="dxa" w:w="2400"/>
            <w:vAlign w:val="center"/>
            <w:tcMar>
              <w:top w:w="80" w:type="dxa"/>
              <w:start w:w="120" w:type="dxa"/>
              <w:bottom w:w="80" w:type="dxa"/>
              <w:end w:w="120" w:type="dxa"/>
            </w:tcMar>
            <w:shd w:fill="E8EEF5"/>
          </w:tcPr>
          <w:p>
            <w:pPr>
              <w:spacing w:after="0"/>
            </w:pPr>
            <w:r>
              <w:rPr>
                <w:rFonts w:ascii="Calibri" w:hAnsi="Calibri"/>
                <w:b/>
                <w:color w:val="0B2545"/>
                <w:sz w:val="20"/>
              </w:rPr>
              <w:t>Core version</w:t>
            </w:r>
          </w:p>
        </w:tc>
        <w:tc>
          <w:tcPr>
            <w:tcW w:type="dxa" w:w="6960"/>
            <w:vAlign w:val="center"/>
            <w:tcMar>
              <w:top w:w="80" w:type="dxa"/>
              <w:start w:w="120" w:type="dxa"/>
              <w:bottom w:w="80" w:type="dxa"/>
              <w:end w:w="120" w:type="dxa"/>
            </w:tcMar>
            <w:shd w:fill="F3F8FC"/>
          </w:tcPr>
          <w:p>
            <w:pPr>
              <w:spacing w:after="0"/>
            </w:pPr>
            <w:r>
              <w:rPr>
                <w:rFonts w:ascii="Calibri" w:hAnsi="Calibri"/>
                <w:color w:val="000000"/>
                <w:sz w:val="21"/>
              </w:rPr>
              <w:t>120 minutes: concepts, four visuals, AI prompt, and verification demo</w:t>
            </w:r>
          </w:p>
        </w:tc>
      </w:tr>
      <w:tr>
        <w:tc>
          <w:tcPr>
            <w:tcW w:type="dxa" w:w="2400"/>
            <w:vAlign w:val="center"/>
            <w:tcMar>
              <w:top w:w="80" w:type="dxa"/>
              <w:start w:w="120" w:type="dxa"/>
              <w:bottom w:w="80" w:type="dxa"/>
              <w:end w:w="120" w:type="dxa"/>
            </w:tcMar>
            <w:shd w:fill="E8EEF5"/>
          </w:tcPr>
          <w:p>
            <w:pPr>
              <w:spacing w:after="0"/>
            </w:pPr>
            <w:r>
              <w:rPr>
                <w:rFonts w:ascii="Calibri" w:hAnsi="Calibri"/>
                <w:b/>
                <w:color w:val="0B2545"/>
                <w:sz w:val="20"/>
              </w:rPr>
              <w:t>Lab version</w:t>
            </w:r>
          </w:p>
        </w:tc>
        <w:tc>
          <w:tcPr>
            <w:tcW w:type="dxa" w:w="6960"/>
            <w:vAlign w:val="center"/>
            <w:tcMar>
              <w:top w:w="80" w:type="dxa"/>
              <w:start w:w="120" w:type="dxa"/>
              <w:bottom w:w="80" w:type="dxa"/>
              <w:end w:w="120" w:type="dxa"/>
            </w:tcMar>
            <w:shd w:fill="F3F8FC"/>
          </w:tcPr>
          <w:p>
            <w:pPr>
              <w:spacing w:after="0"/>
            </w:pPr>
            <w:r>
              <w:rPr>
                <w:rFonts w:ascii="Calibri" w:hAnsi="Calibri"/>
                <w:color w:val="000000"/>
                <w:sz w:val="21"/>
              </w:rPr>
              <w:t>180 minutes: core plus guided Python/AI work and audit challenge</w:t>
            </w:r>
          </w:p>
        </w:tc>
      </w:tr>
      <w:tr>
        <w:tc>
          <w:tcPr>
            <w:tcW w:type="dxa" w:w="2400"/>
            <w:vAlign w:val="center"/>
            <w:tcMar>
              <w:top w:w="80" w:type="dxa"/>
              <w:start w:w="120" w:type="dxa"/>
              <w:bottom w:w="80" w:type="dxa"/>
              <w:end w:w="120" w:type="dxa"/>
            </w:tcMar>
            <w:shd w:fill="E8EEF5"/>
          </w:tcPr>
          <w:p>
            <w:pPr>
              <w:spacing w:after="0"/>
            </w:pPr>
            <w:r>
              <w:rPr>
                <w:rFonts w:ascii="Calibri" w:hAnsi="Calibri"/>
                <w:b/>
                <w:color w:val="0B2545"/>
                <w:sz w:val="20"/>
              </w:rPr>
              <w:t>Full version</w:t>
            </w:r>
          </w:p>
        </w:tc>
        <w:tc>
          <w:tcPr>
            <w:tcW w:type="dxa" w:w="6960"/>
            <w:vAlign w:val="center"/>
            <w:tcMar>
              <w:top w:w="80" w:type="dxa"/>
              <w:start w:w="120" w:type="dxa"/>
              <w:bottom w:w="80" w:type="dxa"/>
              <w:end w:w="120" w:type="dxa"/>
            </w:tcMar>
            <w:shd w:fill="F3F8FC"/>
          </w:tcPr>
          <w:p>
            <w:pPr>
              <w:spacing w:after="0"/>
            </w:pPr>
            <w:r>
              <w:rPr>
                <w:rFonts w:ascii="Calibri" w:hAnsi="Calibri"/>
                <w:color w:val="000000"/>
                <w:sz w:val="21"/>
              </w:rPr>
              <w:t>240 minutes: lab plus team presentations and peer critique</w:t>
            </w:r>
          </w:p>
        </w:tc>
      </w:tr>
      <w:tr>
        <w:tc>
          <w:tcPr>
            <w:tcW w:type="dxa" w:w="2400"/>
            <w:vAlign w:val="center"/>
            <w:tcMar>
              <w:top w:w="80" w:type="dxa"/>
              <w:start w:w="120" w:type="dxa"/>
              <w:bottom w:w="80" w:type="dxa"/>
              <w:end w:w="120" w:type="dxa"/>
            </w:tcMar>
            <w:shd w:fill="E8EEF5"/>
          </w:tcPr>
          <w:p>
            <w:pPr>
              <w:spacing w:after="0"/>
            </w:pPr>
            <w:r>
              <w:rPr>
                <w:rFonts w:ascii="Calibri" w:hAnsi="Calibri"/>
                <w:b/>
                <w:color w:val="0B2545"/>
                <w:sz w:val="20"/>
              </w:rPr>
              <w:t>Files</w:t>
            </w:r>
          </w:p>
        </w:tc>
        <w:tc>
          <w:tcPr>
            <w:tcW w:type="dxa" w:w="6960"/>
            <w:vAlign w:val="center"/>
            <w:tcMar>
              <w:top w:w="80" w:type="dxa"/>
              <w:start w:w="120" w:type="dxa"/>
              <w:bottom w:w="80" w:type="dxa"/>
              <w:end w:w="120" w:type="dxa"/>
            </w:tcMar>
            <w:shd w:fill="F3F8FC"/>
          </w:tcPr>
          <w:p>
            <w:pPr>
              <w:spacing w:after="0"/>
            </w:pPr>
            <w:r>
              <w:rPr>
                <w:rFonts w:ascii="Calibri" w:hAnsi="Calibri"/>
                <w:color w:val="000000"/>
                <w:sz w:val="21"/>
              </w:rPr>
              <w:t>Student workbook, 10-K, student assignment, classroom deck, rubric, and solution package</w:t>
            </w:r>
          </w:p>
        </w:tc>
      </w:tr>
    </w:tbl>
    <w:p>
      <w:pPr>
        <w:spacing w:before="560" w:after="0"/>
      </w:pPr>
      <w:r>
        <w:rPr>
          <w:rFonts w:ascii="Calibri" w:hAnsi="Calibri"/>
          <w:b/>
          <w:color w:val="1F4D78"/>
          <w:sz w:val="26"/>
        </w:rPr>
        <w:t>Evidence before elegance. A chart is not finished until it reconciles.</w:t>
      </w:r>
    </w:p>
    <w:p>
      <w:r>
        <w:br w:type="page"/>
      </w:r>
    </w:p>
    <w:p>
      <w:pPr>
        <w:pStyle w:val="Heading1"/>
      </w:pPr>
      <w:r>
        <w:t>Instructional Premise</w:t>
      </w:r>
    </w:p>
    <w:p>
      <w:r>
        <w:rPr>
          <w:rFonts w:ascii="Calibri" w:hAnsi="Calibri"/>
          <w:b/>
          <w:color w:val="0B2545"/>
          <w:sz w:val="23"/>
        </w:rPr>
        <w:t>Treat AI as a junior analyst whose work must be independently verified, not as an answer key.</w:t>
      </w:r>
    </w:p>
    <w:p>
      <w:r>
        <w:t>The class moves from source evidence to finance meaning, then to code and verification. Students first learn what the four visuals mean and which accounting identities constrain them. Only then do they use AI to draft code. This sequence keeps the financial model in charge of the technology.</w:t>
      </w:r>
    </w:p>
    <w:tbl>
      <w:tblPr>
        <w:tblW w:type="dxa" w:w="9360"/>
        <w:jc w:val="left"/>
        <w:tblLayout w:type="fixed"/>
        <w:tblLook w:firstColumn="1" w:firstRow="1" w:lastColumn="0" w:lastRow="0" w:noHBand="0" w:noVBand="1" w:val="04A0"/>
        <w:tblInd w:w="120" w:type="dxa"/>
        <w:tblBorders>
          <w:top w:val="single" w:sz="1" w:space="0" w:color="F3F8FC"/>
          <w:left w:val="single" w:sz="1" w:space="0" w:color="F3F8FC"/>
          <w:bottom w:val="single" w:sz="1" w:space="0" w:color="F3F8FC"/>
          <w:right w:val="single" w:sz="1" w:space="0" w:color="F3F8FC"/>
          <w:insideH w:val="single" w:sz="1" w:space="0" w:color="F3F8FC"/>
          <w:insideV w:val="single" w:sz="1" w:space="0" w:color="F3F8FC"/>
        </w:tblBorders>
      </w:tblPr>
      <w:tblGrid>
        <w:gridCol w:w="9360"/>
      </w:tblGrid>
      <w:tr>
        <w:tc>
          <w:tcPr>
            <w:tcW w:type="dxa" w:w="9360"/>
            <w:vAlign w:val="center"/>
            <w:tcMar>
              <w:top w:w="80" w:type="dxa"/>
              <w:start w:w="120" w:type="dxa"/>
              <w:bottom w:w="80" w:type="dxa"/>
              <w:end w:w="120" w:type="dxa"/>
            </w:tcMar>
            <w:shd w:fill="F3F8FC"/>
          </w:tcPr>
          <w:p>
            <w:pPr>
              <w:spacing w:after="0"/>
            </w:pPr>
            <w:r>
              <w:rPr>
                <w:rFonts w:ascii="Calibri" w:hAnsi="Calibri"/>
                <w:b/>
                <w:color w:val="2E74B5"/>
                <w:sz w:val="21"/>
              </w:rPr>
              <w:t xml:space="preserve">Communication job: </w:t>
            </w:r>
            <w:r>
              <w:rPr>
                <w:rFonts w:ascii="Calibri" w:hAnsi="Calibri"/>
                <w:color w:val="000000"/>
                <w:sz w:val="21"/>
              </w:rPr>
              <w:t>By the end, students should be able to build and defend a reproducible P&amp;G financial story because they can connect audited statements to formulas, visual encodings, code, and verification evidence.</w:t>
            </w:r>
          </w:p>
        </w:tc>
      </w:tr>
    </w:tbl>
    <w:p>
      <w:pPr>
        <w:spacing w:after="0"/>
      </w:pP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3000"/>
        <w:gridCol w:w="6360"/>
      </w:tblGrid>
      <w:tr>
        <w:trPr>
          <w:tblHeader w:val="true"/>
        </w:trPr>
        <w:tc>
          <w:tcPr>
            <w:tcW w:type="dxa" w:w="3000"/>
            <w:vAlign w:val="center"/>
            <w:tcMar>
              <w:top w:w="80" w:type="dxa"/>
              <w:start w:w="120" w:type="dxa"/>
              <w:bottom w:w="80" w:type="dxa"/>
              <w:end w:w="120" w:type="dxa"/>
            </w:tcMar>
            <w:shd w:fill="E8EEF5"/>
          </w:tcPr>
          <w:p>
            <w:pPr>
              <w:spacing w:after="0"/>
            </w:pPr>
            <w:r>
              <w:rPr>
                <w:rFonts w:ascii="Calibri" w:hAnsi="Calibri"/>
                <w:b/>
                <w:color w:val="0B2545"/>
                <w:sz w:val="19"/>
              </w:rPr>
              <w:t>Design principle</w:t>
            </w:r>
          </w:p>
        </w:tc>
        <w:tc>
          <w:tcPr>
            <w:tcW w:type="dxa" w:w="6360"/>
            <w:vAlign w:val="center"/>
            <w:tcMar>
              <w:top w:w="80" w:type="dxa"/>
              <w:start w:w="120" w:type="dxa"/>
              <w:bottom w:w="80" w:type="dxa"/>
              <w:end w:w="120" w:type="dxa"/>
            </w:tcMar>
            <w:shd w:fill="E8EEF5"/>
          </w:tcPr>
          <w:p>
            <w:pPr>
              <w:spacing w:after="0"/>
            </w:pPr>
            <w:r>
              <w:rPr>
                <w:rFonts w:ascii="Calibri" w:hAnsi="Calibri"/>
                <w:b/>
                <w:color w:val="0B2545"/>
                <w:sz w:val="19"/>
              </w:rPr>
              <w:t>Classroom implication</w:t>
            </w:r>
          </w:p>
        </w:tc>
      </w:tr>
      <w:tr>
        <w:tc>
          <w:tcPr>
            <w:tcW w:type="dxa" w:w="3000"/>
            <w:vAlign w:val="center"/>
            <w:tcMar>
              <w:top w:w="80" w:type="dxa"/>
              <w:start w:w="120" w:type="dxa"/>
              <w:bottom w:w="80" w:type="dxa"/>
              <w:end w:w="120" w:type="dxa"/>
            </w:tcMar>
          </w:tcPr>
          <w:p>
            <w:pPr>
              <w:spacing w:after="0"/>
            </w:pPr>
            <w:r>
              <w:rPr>
                <w:rFonts w:ascii="Calibri" w:hAnsi="Calibri"/>
                <w:b/>
                <w:color w:val="000000"/>
                <w:sz w:val="19"/>
              </w:rPr>
              <w:t>Evidence before output</w:t>
            </w:r>
          </w:p>
        </w:tc>
        <w:tc>
          <w:tcPr>
            <w:tcW w:type="dxa" w:w="6360"/>
            <w:vAlign w:val="center"/>
            <w:tcMar>
              <w:top w:w="80" w:type="dxa"/>
              <w:start w:w="120" w:type="dxa"/>
              <w:bottom w:w="80" w:type="dxa"/>
              <w:end w:w="120" w:type="dxa"/>
            </w:tcMar>
          </w:tcPr>
          <w:p>
            <w:pPr>
              <w:spacing w:after="0"/>
            </w:pPr>
            <w:r>
              <w:rPr>
                <w:rFonts w:ascii="Calibri" w:hAnsi="Calibri"/>
                <w:b w:val="0"/>
                <w:color w:val="000000"/>
                <w:sz w:val="19"/>
              </w:rPr>
              <w:t>Open the 10-K and workbook before showing code.</w:t>
            </w:r>
          </w:p>
        </w:tc>
      </w:tr>
      <w:tr>
        <w:tc>
          <w:tcPr>
            <w:tcW w:type="dxa" w:w="3000"/>
            <w:shd w:fill="FAFBFC"/>
            <w:vAlign w:val="center"/>
            <w:tcMar>
              <w:top w:w="80" w:type="dxa"/>
              <w:start w:w="120" w:type="dxa"/>
              <w:bottom w:w="80" w:type="dxa"/>
              <w:end w:w="120" w:type="dxa"/>
            </w:tcMar>
          </w:tcPr>
          <w:p>
            <w:pPr>
              <w:spacing w:after="0"/>
            </w:pPr>
            <w:r>
              <w:rPr>
                <w:rFonts w:ascii="Calibri" w:hAnsi="Calibri"/>
                <w:b/>
                <w:color w:val="000000"/>
                <w:sz w:val="19"/>
              </w:rPr>
              <w:t>Meaning before syntax</w:t>
            </w:r>
          </w:p>
        </w:tc>
        <w:tc>
          <w:tcPr>
            <w:tcW w:type="dxa" w:w="6360"/>
            <w:shd w:fill="FAFBFC"/>
            <w:vAlign w:val="center"/>
            <w:tcMar>
              <w:top w:w="80" w:type="dxa"/>
              <w:start w:w="120" w:type="dxa"/>
              <w:bottom w:w="80" w:type="dxa"/>
              <w:end w:w="120" w:type="dxa"/>
            </w:tcMar>
          </w:tcPr>
          <w:p>
            <w:pPr>
              <w:spacing w:after="0"/>
            </w:pPr>
            <w:r>
              <w:rPr>
                <w:rFonts w:ascii="Calibri" w:hAnsi="Calibri"/>
                <w:b w:val="0"/>
                <w:color w:val="000000"/>
                <w:sz w:val="19"/>
              </w:rPr>
              <w:t>Explain the finance job of each function before reviewing Python details.</w:t>
            </w:r>
          </w:p>
        </w:tc>
      </w:tr>
      <w:tr>
        <w:tc>
          <w:tcPr>
            <w:tcW w:type="dxa" w:w="3000"/>
            <w:vAlign w:val="center"/>
            <w:tcMar>
              <w:top w:w="80" w:type="dxa"/>
              <w:start w:w="120" w:type="dxa"/>
              <w:bottom w:w="80" w:type="dxa"/>
              <w:end w:w="120" w:type="dxa"/>
            </w:tcMar>
          </w:tcPr>
          <w:p>
            <w:pPr>
              <w:spacing w:after="0"/>
            </w:pPr>
            <w:r>
              <w:rPr>
                <w:rFonts w:ascii="Calibri" w:hAnsi="Calibri"/>
                <w:b/>
                <w:color w:val="000000"/>
                <w:sz w:val="19"/>
              </w:rPr>
              <w:t>Checks before charts</w:t>
            </w:r>
          </w:p>
        </w:tc>
        <w:tc>
          <w:tcPr>
            <w:tcW w:type="dxa" w:w="6360"/>
            <w:vAlign w:val="center"/>
            <w:tcMar>
              <w:top w:w="80" w:type="dxa"/>
              <w:start w:w="120" w:type="dxa"/>
              <w:bottom w:w="80" w:type="dxa"/>
              <w:end w:w="120" w:type="dxa"/>
            </w:tcMar>
          </w:tcPr>
          <w:p>
            <w:pPr>
              <w:spacing w:after="0"/>
            </w:pPr>
            <w:r>
              <w:rPr>
                <w:rFonts w:ascii="Calibri" w:hAnsi="Calibri"/>
                <w:b w:val="0"/>
                <w:color w:val="000000"/>
                <w:sz w:val="19"/>
              </w:rPr>
              <w:t>A failed identity stops export; students do not 'fix' a chart by hiding a residual.</w:t>
            </w:r>
          </w:p>
        </w:tc>
      </w:tr>
      <w:tr>
        <w:tc>
          <w:tcPr>
            <w:tcW w:type="dxa" w:w="3000"/>
            <w:shd w:fill="FAFBFC"/>
            <w:vAlign w:val="center"/>
            <w:tcMar>
              <w:top w:w="80" w:type="dxa"/>
              <w:start w:w="120" w:type="dxa"/>
              <w:bottom w:w="80" w:type="dxa"/>
              <w:end w:w="120" w:type="dxa"/>
            </w:tcMar>
          </w:tcPr>
          <w:p>
            <w:pPr>
              <w:spacing w:after="0"/>
            </w:pPr>
            <w:r>
              <w:rPr>
                <w:rFonts w:ascii="Calibri" w:hAnsi="Calibri"/>
                <w:b/>
                <w:color w:val="000000"/>
                <w:sz w:val="19"/>
              </w:rPr>
              <w:t>Roles without silos</w:t>
            </w:r>
          </w:p>
        </w:tc>
        <w:tc>
          <w:tcPr>
            <w:tcW w:type="dxa" w:w="6360"/>
            <w:shd w:fill="FAFBFC"/>
            <w:vAlign w:val="center"/>
            <w:tcMar>
              <w:top w:w="80" w:type="dxa"/>
              <w:start w:w="120" w:type="dxa"/>
              <w:bottom w:w="80" w:type="dxa"/>
              <w:end w:w="120" w:type="dxa"/>
            </w:tcMar>
          </w:tcPr>
          <w:p>
            <w:pPr>
              <w:spacing w:after="0"/>
            </w:pPr>
            <w:r>
              <w:rPr>
                <w:rFonts w:ascii="Calibri" w:hAnsi="Calibri"/>
                <w:b w:val="0"/>
                <w:color w:val="000000"/>
                <w:sz w:val="19"/>
              </w:rPr>
              <w:t>Teams distribute labor, but oral questions enforce whole-team understanding.</w:t>
            </w:r>
          </w:p>
        </w:tc>
      </w:tr>
      <w:tr>
        <w:tc>
          <w:tcPr>
            <w:tcW w:type="dxa" w:w="3000"/>
            <w:vAlign w:val="center"/>
            <w:tcMar>
              <w:top w:w="80" w:type="dxa"/>
              <w:start w:w="120" w:type="dxa"/>
              <w:bottom w:w="80" w:type="dxa"/>
              <w:end w:w="120" w:type="dxa"/>
            </w:tcMar>
          </w:tcPr>
          <w:p>
            <w:pPr>
              <w:spacing w:after="0"/>
            </w:pPr>
            <w:r>
              <w:rPr>
                <w:rFonts w:ascii="Calibri" w:hAnsi="Calibri"/>
                <w:b/>
                <w:color w:val="000000"/>
                <w:sz w:val="19"/>
              </w:rPr>
              <w:t>AI with accountability</w:t>
            </w:r>
          </w:p>
        </w:tc>
        <w:tc>
          <w:tcPr>
            <w:tcW w:type="dxa" w:w="6360"/>
            <w:vAlign w:val="center"/>
            <w:tcMar>
              <w:top w:w="80" w:type="dxa"/>
              <w:start w:w="120" w:type="dxa"/>
              <w:bottom w:w="80" w:type="dxa"/>
              <w:end w:w="120" w:type="dxa"/>
            </w:tcMar>
          </w:tcPr>
          <w:p>
            <w:pPr>
              <w:spacing w:after="0"/>
            </w:pPr>
            <w:r>
              <w:rPr>
                <w:rFonts w:ascii="Calibri" w:hAnsi="Calibri"/>
                <w:b w:val="0"/>
                <w:color w:val="000000"/>
                <w:sz w:val="19"/>
              </w:rPr>
              <w:t>Prompt history, REM comments, corrections, and verification are graded evidence.</w:t>
            </w:r>
          </w:p>
        </w:tc>
      </w:tr>
    </w:tbl>
    <w:p>
      <w:pPr>
        <w:spacing w:after="0"/>
      </w:pPr>
    </w:p>
    <w:p>
      <w:pPr>
        <w:pStyle w:val="Heading1"/>
      </w:pPr>
      <w:r>
        <w:t>1. Learning Outcomes and Course Alignment</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3000"/>
        <w:gridCol w:w="4350"/>
        <w:gridCol w:w="2010"/>
      </w:tblGrid>
      <w:tr>
        <w:trPr>
          <w:tblHeader w:val="true"/>
        </w:trPr>
        <w:tc>
          <w:tcPr>
            <w:tcW w:type="dxa" w:w="3000"/>
            <w:vAlign w:val="center"/>
            <w:tcMar>
              <w:top w:w="80" w:type="dxa"/>
              <w:start w:w="120" w:type="dxa"/>
              <w:bottom w:w="80" w:type="dxa"/>
              <w:end w:w="120" w:type="dxa"/>
            </w:tcMar>
            <w:shd w:fill="E8EEF5"/>
          </w:tcPr>
          <w:p>
            <w:pPr>
              <w:spacing w:after="0"/>
            </w:pPr>
            <w:r>
              <w:rPr>
                <w:rFonts w:ascii="Calibri" w:hAnsi="Calibri"/>
                <w:b/>
                <w:color w:val="0B2545"/>
                <w:sz w:val="17"/>
              </w:rPr>
              <w:t>Outcome</w:t>
            </w:r>
          </w:p>
        </w:tc>
        <w:tc>
          <w:tcPr>
            <w:tcW w:type="dxa" w:w="4350"/>
            <w:vAlign w:val="center"/>
            <w:tcMar>
              <w:top w:w="80" w:type="dxa"/>
              <w:start w:w="120" w:type="dxa"/>
              <w:bottom w:w="80" w:type="dxa"/>
              <w:end w:w="120" w:type="dxa"/>
            </w:tcMar>
            <w:shd w:fill="E8EEF5"/>
          </w:tcPr>
          <w:p>
            <w:pPr>
              <w:spacing w:after="0"/>
            </w:pPr>
            <w:r>
              <w:rPr>
                <w:rFonts w:ascii="Calibri" w:hAnsi="Calibri"/>
                <w:b/>
                <w:color w:val="0B2545"/>
                <w:sz w:val="17"/>
              </w:rPr>
              <w:t>Student evidence</w:t>
            </w:r>
          </w:p>
        </w:tc>
        <w:tc>
          <w:tcPr>
            <w:tcW w:type="dxa" w:w="2010"/>
            <w:vAlign w:val="center"/>
            <w:tcMar>
              <w:top w:w="80" w:type="dxa"/>
              <w:start w:w="120" w:type="dxa"/>
              <w:bottom w:w="80" w:type="dxa"/>
              <w:end w:w="120" w:type="dxa"/>
            </w:tcMar>
            <w:shd w:fill="E8EEF5"/>
          </w:tcPr>
          <w:p>
            <w:pPr>
              <w:spacing w:after="0"/>
            </w:pPr>
            <w:r>
              <w:rPr>
                <w:rFonts w:ascii="Calibri" w:hAnsi="Calibri"/>
                <w:b/>
                <w:color w:val="0B2545"/>
                <w:sz w:val="17"/>
              </w:rPr>
              <w:t>Chapter connection</w:t>
            </w:r>
          </w:p>
        </w:tc>
      </w:tr>
      <w:tr>
        <w:tc>
          <w:tcPr>
            <w:tcW w:type="dxa" w:w="3000"/>
            <w:vAlign w:val="center"/>
            <w:tcMar>
              <w:top w:w="80" w:type="dxa"/>
              <w:start w:w="120" w:type="dxa"/>
              <w:bottom w:w="80" w:type="dxa"/>
              <w:end w:w="120" w:type="dxa"/>
            </w:tcMar>
          </w:tcPr>
          <w:p>
            <w:pPr>
              <w:spacing w:after="0"/>
            </w:pPr>
            <w:r>
              <w:rPr>
                <w:rFonts w:ascii="Calibri" w:hAnsi="Calibri"/>
                <w:b w:val="0"/>
                <w:color w:val="000000"/>
                <w:sz w:val="17"/>
              </w:rPr>
              <w:t>Explain value creation beyond accounting profit.</w:t>
            </w:r>
          </w:p>
        </w:tc>
        <w:tc>
          <w:tcPr>
            <w:tcW w:type="dxa" w:w="4350"/>
            <w:vAlign w:val="center"/>
            <w:tcMar>
              <w:top w:w="80" w:type="dxa"/>
              <w:start w:w="120" w:type="dxa"/>
              <w:bottom w:w="80" w:type="dxa"/>
              <w:end w:w="120" w:type="dxa"/>
            </w:tcMar>
          </w:tcPr>
          <w:p>
            <w:pPr>
              <w:spacing w:after="0"/>
            </w:pPr>
            <w:r>
              <w:rPr>
                <w:rFonts w:ascii="Calibri" w:hAnsi="Calibri"/>
                <w:b w:val="0"/>
                <w:color w:val="000000"/>
                <w:sz w:val="17"/>
              </w:rPr>
              <w:t>Connect net income, FCF, risk, and shareholder value.</w:t>
            </w:r>
          </w:p>
        </w:tc>
        <w:tc>
          <w:tcPr>
            <w:tcW w:type="dxa" w:w="2010"/>
            <w:vAlign w:val="center"/>
            <w:tcMar>
              <w:top w:w="80" w:type="dxa"/>
              <w:start w:w="120" w:type="dxa"/>
              <w:bottom w:w="80" w:type="dxa"/>
              <w:end w:w="120" w:type="dxa"/>
            </w:tcMar>
          </w:tcPr>
          <w:p>
            <w:pPr>
              <w:spacing w:after="0"/>
            </w:pPr>
            <w:r>
              <w:rPr>
                <w:rFonts w:ascii="Calibri" w:hAnsi="Calibri"/>
                <w:b w:val="0"/>
                <w:color w:val="000000"/>
                <w:sz w:val="17"/>
              </w:rPr>
              <w:t>Ch. 1</w:t>
            </w:r>
          </w:p>
        </w:tc>
      </w:tr>
      <w:tr>
        <w:tc>
          <w:tcPr>
            <w:tcW w:type="dxa" w:w="3000"/>
            <w:shd w:fill="FAFBFC"/>
            <w:vAlign w:val="center"/>
            <w:tcMar>
              <w:top w:w="80" w:type="dxa"/>
              <w:start w:w="120" w:type="dxa"/>
              <w:bottom w:w="80" w:type="dxa"/>
              <w:end w:w="120" w:type="dxa"/>
            </w:tcMar>
          </w:tcPr>
          <w:p>
            <w:pPr>
              <w:spacing w:after="0"/>
            </w:pPr>
            <w:r>
              <w:rPr>
                <w:rFonts w:ascii="Calibri" w:hAnsi="Calibri"/>
                <w:b w:val="0"/>
                <w:color w:val="000000"/>
                <w:sz w:val="17"/>
              </w:rPr>
              <w:t>Use public-company information responsibly.</w:t>
            </w:r>
          </w:p>
        </w:tc>
        <w:tc>
          <w:tcPr>
            <w:tcW w:type="dxa" w:w="4350"/>
            <w:shd w:fill="FAFBFC"/>
            <w:vAlign w:val="center"/>
            <w:tcMar>
              <w:top w:w="80" w:type="dxa"/>
              <w:start w:w="120" w:type="dxa"/>
              <w:bottom w:w="80" w:type="dxa"/>
              <w:end w:w="120" w:type="dxa"/>
            </w:tcMar>
          </w:tcPr>
          <w:p>
            <w:pPr>
              <w:spacing w:after="0"/>
            </w:pPr>
            <w:r>
              <w:rPr>
                <w:rFonts w:ascii="Calibri" w:hAnsi="Calibri"/>
                <w:b w:val="0"/>
                <w:color w:val="000000"/>
                <w:sz w:val="17"/>
              </w:rPr>
              <w:t>Trace metrics to the audited 10-K and standardized workbook.</w:t>
            </w:r>
          </w:p>
        </w:tc>
        <w:tc>
          <w:tcPr>
            <w:tcW w:type="dxa" w:w="2010"/>
            <w:shd w:fill="FAFBFC"/>
            <w:vAlign w:val="center"/>
            <w:tcMar>
              <w:top w:w="80" w:type="dxa"/>
              <w:start w:w="120" w:type="dxa"/>
              <w:bottom w:w="80" w:type="dxa"/>
              <w:end w:w="120" w:type="dxa"/>
            </w:tcMar>
          </w:tcPr>
          <w:p>
            <w:pPr>
              <w:spacing w:after="0"/>
            </w:pPr>
            <w:r>
              <w:rPr>
                <w:rFonts w:ascii="Calibri" w:hAnsi="Calibri"/>
                <w:b w:val="0"/>
                <w:color w:val="000000"/>
                <w:sz w:val="17"/>
              </w:rPr>
              <w:t>Ch. 2</w:t>
            </w:r>
          </w:p>
        </w:tc>
      </w:tr>
      <w:tr>
        <w:tc>
          <w:tcPr>
            <w:tcW w:type="dxa" w:w="3000"/>
            <w:vAlign w:val="center"/>
            <w:tcMar>
              <w:top w:w="80" w:type="dxa"/>
              <w:start w:w="120" w:type="dxa"/>
              <w:bottom w:w="80" w:type="dxa"/>
              <w:end w:w="120" w:type="dxa"/>
            </w:tcMar>
          </w:tcPr>
          <w:p>
            <w:pPr>
              <w:spacing w:after="0"/>
            </w:pPr>
            <w:r>
              <w:rPr>
                <w:rFonts w:ascii="Calibri" w:hAnsi="Calibri"/>
                <w:b w:val="0"/>
                <w:color w:val="000000"/>
                <w:sz w:val="17"/>
              </w:rPr>
              <w:t>Link statements, taxes, NOPAT, NOWC, and FCF.</w:t>
            </w:r>
          </w:p>
        </w:tc>
        <w:tc>
          <w:tcPr>
            <w:tcW w:type="dxa" w:w="4350"/>
            <w:vAlign w:val="center"/>
            <w:tcMar>
              <w:top w:w="80" w:type="dxa"/>
              <w:start w:w="120" w:type="dxa"/>
              <w:bottom w:w="80" w:type="dxa"/>
              <w:end w:w="120" w:type="dxa"/>
            </w:tcMar>
          </w:tcPr>
          <w:p>
            <w:pPr>
              <w:spacing w:after="0"/>
            </w:pPr>
            <w:r>
              <w:rPr>
                <w:rFonts w:ascii="Calibri" w:hAnsi="Calibri"/>
                <w:b w:val="0"/>
                <w:color w:val="000000"/>
                <w:sz w:val="17"/>
              </w:rPr>
              <w:t>Reconcile the Sankey and FCF waterfall.</w:t>
            </w:r>
          </w:p>
        </w:tc>
        <w:tc>
          <w:tcPr>
            <w:tcW w:type="dxa" w:w="2010"/>
            <w:vAlign w:val="center"/>
            <w:tcMar>
              <w:top w:w="80" w:type="dxa"/>
              <w:start w:w="120" w:type="dxa"/>
              <w:bottom w:w="80" w:type="dxa"/>
              <w:end w:w="120" w:type="dxa"/>
            </w:tcMar>
          </w:tcPr>
          <w:p>
            <w:pPr>
              <w:spacing w:after="0"/>
            </w:pPr>
            <w:r>
              <w:rPr>
                <w:rFonts w:ascii="Calibri" w:hAnsi="Calibri"/>
                <w:b w:val="0"/>
                <w:color w:val="000000"/>
                <w:sz w:val="17"/>
              </w:rPr>
              <w:t>Ch. 3</w:t>
            </w:r>
          </w:p>
        </w:tc>
      </w:tr>
      <w:tr>
        <w:tc>
          <w:tcPr>
            <w:tcW w:type="dxa" w:w="3000"/>
            <w:shd w:fill="FAFBFC"/>
            <w:vAlign w:val="center"/>
            <w:tcMar>
              <w:top w:w="80" w:type="dxa"/>
              <w:start w:w="120" w:type="dxa"/>
              <w:bottom w:w="80" w:type="dxa"/>
              <w:end w:w="120" w:type="dxa"/>
            </w:tcMar>
          </w:tcPr>
          <w:p>
            <w:pPr>
              <w:spacing w:after="0"/>
            </w:pPr>
            <w:r>
              <w:rPr>
                <w:rFonts w:ascii="Calibri" w:hAnsi="Calibri"/>
                <w:b w:val="0"/>
                <w:color w:val="000000"/>
                <w:sz w:val="17"/>
              </w:rPr>
              <w:t>Analyze profitability, efficiency, leverage, and growth.</w:t>
            </w:r>
          </w:p>
        </w:tc>
        <w:tc>
          <w:tcPr>
            <w:tcW w:type="dxa" w:w="4350"/>
            <w:shd w:fill="FAFBFC"/>
            <w:vAlign w:val="center"/>
            <w:tcMar>
              <w:top w:w="80" w:type="dxa"/>
              <w:start w:w="120" w:type="dxa"/>
              <w:bottom w:w="80" w:type="dxa"/>
              <w:end w:w="120" w:type="dxa"/>
            </w:tcMar>
          </w:tcPr>
          <w:p>
            <w:pPr>
              <w:spacing w:after="0"/>
            </w:pPr>
            <w:r>
              <w:rPr>
                <w:rFonts w:ascii="Calibri" w:hAnsi="Calibri"/>
                <w:b w:val="0"/>
                <w:color w:val="000000"/>
                <w:sz w:val="17"/>
              </w:rPr>
              <w:t>Interpret common-size margins, trend CAGRs, and DuPont.</w:t>
            </w:r>
          </w:p>
        </w:tc>
        <w:tc>
          <w:tcPr>
            <w:tcW w:type="dxa" w:w="2010"/>
            <w:shd w:fill="FAFBFC"/>
            <w:vAlign w:val="center"/>
            <w:tcMar>
              <w:top w:w="80" w:type="dxa"/>
              <w:start w:w="120" w:type="dxa"/>
              <w:bottom w:w="80" w:type="dxa"/>
              <w:end w:w="120" w:type="dxa"/>
            </w:tcMar>
          </w:tcPr>
          <w:p>
            <w:pPr>
              <w:spacing w:after="0"/>
            </w:pPr>
            <w:r>
              <w:rPr>
                <w:rFonts w:ascii="Calibri" w:hAnsi="Calibri"/>
                <w:b w:val="0"/>
                <w:color w:val="000000"/>
                <w:sz w:val="17"/>
              </w:rPr>
              <w:t>Ch. 4</w:t>
            </w:r>
          </w:p>
        </w:tc>
      </w:tr>
      <w:tr>
        <w:tc>
          <w:tcPr>
            <w:tcW w:type="dxa" w:w="3000"/>
            <w:vAlign w:val="center"/>
            <w:tcMar>
              <w:top w:w="80" w:type="dxa"/>
              <w:start w:w="120" w:type="dxa"/>
              <w:bottom w:w="80" w:type="dxa"/>
              <w:end w:w="120" w:type="dxa"/>
            </w:tcMar>
          </w:tcPr>
          <w:p>
            <w:pPr>
              <w:spacing w:after="0"/>
            </w:pPr>
            <w:r>
              <w:rPr>
                <w:rFonts w:ascii="Calibri" w:hAnsi="Calibri"/>
                <w:b w:val="0"/>
                <w:color w:val="000000"/>
                <w:sz w:val="17"/>
              </w:rPr>
              <w:t>Reason across time.</w:t>
            </w:r>
          </w:p>
        </w:tc>
        <w:tc>
          <w:tcPr>
            <w:tcW w:type="dxa" w:w="4350"/>
            <w:vAlign w:val="center"/>
            <w:tcMar>
              <w:top w:w="80" w:type="dxa"/>
              <w:start w:w="120" w:type="dxa"/>
              <w:bottom w:w="80" w:type="dxa"/>
              <w:end w:w="120" w:type="dxa"/>
            </w:tcMar>
          </w:tcPr>
          <w:p>
            <w:pPr>
              <w:spacing w:after="0"/>
            </w:pPr>
            <w:r>
              <w:rPr>
                <w:rFonts w:ascii="Calibri" w:hAnsi="Calibri"/>
                <w:b w:val="0"/>
                <w:color w:val="000000"/>
                <w:sz w:val="17"/>
              </w:rPr>
              <w:t>Use four CAGR intervals and connect future FCF to present value.</w:t>
            </w:r>
          </w:p>
        </w:tc>
        <w:tc>
          <w:tcPr>
            <w:tcW w:type="dxa" w:w="2010"/>
            <w:vAlign w:val="center"/>
            <w:tcMar>
              <w:top w:w="80" w:type="dxa"/>
              <w:start w:w="120" w:type="dxa"/>
              <w:bottom w:w="80" w:type="dxa"/>
              <w:end w:w="120" w:type="dxa"/>
            </w:tcMar>
          </w:tcPr>
          <w:p>
            <w:pPr>
              <w:spacing w:after="0"/>
            </w:pPr>
            <w:r>
              <w:rPr>
                <w:rFonts w:ascii="Calibri" w:hAnsi="Calibri"/>
                <w:b w:val="0"/>
                <w:color w:val="000000"/>
                <w:sz w:val="17"/>
              </w:rPr>
              <w:t>Ch. 5</w:t>
            </w:r>
          </w:p>
        </w:tc>
      </w:tr>
      <w:tr>
        <w:tc>
          <w:tcPr>
            <w:tcW w:type="dxa" w:w="3000"/>
            <w:shd w:fill="FAFBFC"/>
            <w:vAlign w:val="center"/>
            <w:tcMar>
              <w:top w:w="80" w:type="dxa"/>
              <w:start w:w="120" w:type="dxa"/>
              <w:bottom w:w="80" w:type="dxa"/>
              <w:end w:w="120" w:type="dxa"/>
            </w:tcMar>
          </w:tcPr>
          <w:p>
            <w:pPr>
              <w:spacing w:after="0"/>
            </w:pPr>
            <w:r>
              <w:rPr>
                <w:rFonts w:ascii="Calibri" w:hAnsi="Calibri"/>
                <w:b w:val="0"/>
                <w:color w:val="000000"/>
                <w:sz w:val="17"/>
              </w:rPr>
              <w:t>Recognize financing sensitivity.</w:t>
            </w:r>
          </w:p>
        </w:tc>
        <w:tc>
          <w:tcPr>
            <w:tcW w:type="dxa" w:w="4350"/>
            <w:shd w:fill="FAFBFC"/>
            <w:vAlign w:val="center"/>
            <w:tcMar>
              <w:top w:w="80" w:type="dxa"/>
              <w:start w:w="120" w:type="dxa"/>
              <w:bottom w:w="80" w:type="dxa"/>
              <w:end w:w="120" w:type="dxa"/>
            </w:tcMar>
          </w:tcPr>
          <w:p>
            <w:pPr>
              <w:spacing w:after="0"/>
            </w:pPr>
            <w:r>
              <w:rPr>
                <w:rFonts w:ascii="Calibri" w:hAnsi="Calibri"/>
                <w:b w:val="0"/>
                <w:color w:val="000000"/>
                <w:sz w:val="17"/>
              </w:rPr>
              <w:t>Place interest after EBIT and discuss rate/leverage effects.</w:t>
            </w:r>
          </w:p>
        </w:tc>
        <w:tc>
          <w:tcPr>
            <w:tcW w:type="dxa" w:w="2010"/>
            <w:shd w:fill="FAFBFC"/>
            <w:vAlign w:val="center"/>
            <w:tcMar>
              <w:top w:w="80" w:type="dxa"/>
              <w:start w:w="120" w:type="dxa"/>
              <w:bottom w:w="80" w:type="dxa"/>
              <w:end w:w="120" w:type="dxa"/>
            </w:tcMar>
          </w:tcPr>
          <w:p>
            <w:pPr>
              <w:spacing w:after="0"/>
            </w:pPr>
            <w:r>
              <w:rPr>
                <w:rFonts w:ascii="Calibri" w:hAnsi="Calibri"/>
                <w:b w:val="0"/>
                <w:color w:val="000000"/>
                <w:sz w:val="17"/>
              </w:rPr>
              <w:t>Ch. 6</w:t>
            </w:r>
          </w:p>
        </w:tc>
      </w:tr>
      <w:tr>
        <w:tc>
          <w:tcPr>
            <w:tcW w:type="dxa" w:w="3000"/>
            <w:vAlign w:val="center"/>
            <w:tcMar>
              <w:top w:w="80" w:type="dxa"/>
              <w:start w:w="120" w:type="dxa"/>
              <w:bottom w:w="80" w:type="dxa"/>
              <w:end w:w="120" w:type="dxa"/>
            </w:tcMar>
          </w:tcPr>
          <w:p>
            <w:pPr>
              <w:spacing w:after="0"/>
            </w:pPr>
            <w:r>
              <w:rPr>
                <w:rFonts w:ascii="Calibri" w:hAnsi="Calibri"/>
                <w:b w:val="0"/>
                <w:color w:val="000000"/>
                <w:sz w:val="17"/>
              </w:rPr>
              <w:t>Adopt a creditor perspective.</w:t>
            </w:r>
          </w:p>
        </w:tc>
        <w:tc>
          <w:tcPr>
            <w:tcW w:type="dxa" w:w="4350"/>
            <w:vAlign w:val="center"/>
            <w:tcMar>
              <w:top w:w="80" w:type="dxa"/>
              <w:start w:w="120" w:type="dxa"/>
              <w:bottom w:w="80" w:type="dxa"/>
              <w:end w:w="120" w:type="dxa"/>
            </w:tcMar>
          </w:tcPr>
          <w:p>
            <w:pPr>
              <w:spacing w:after="0"/>
            </w:pPr>
            <w:r>
              <w:rPr>
                <w:rFonts w:ascii="Calibri" w:hAnsi="Calibri"/>
                <w:b w:val="0"/>
                <w:color w:val="000000"/>
                <w:sz w:val="17"/>
              </w:rPr>
              <w:t>Explain cash generation, coverage, leverage, and default implications.</w:t>
            </w:r>
          </w:p>
        </w:tc>
        <w:tc>
          <w:tcPr>
            <w:tcW w:type="dxa" w:w="2010"/>
            <w:vAlign w:val="center"/>
            <w:tcMar>
              <w:top w:w="80" w:type="dxa"/>
              <w:start w:w="120" w:type="dxa"/>
              <w:bottom w:w="80" w:type="dxa"/>
              <w:end w:w="120" w:type="dxa"/>
            </w:tcMar>
          </w:tcPr>
          <w:p>
            <w:pPr>
              <w:spacing w:after="0"/>
            </w:pPr>
            <w:r>
              <w:rPr>
                <w:rFonts w:ascii="Calibri" w:hAnsi="Calibri"/>
                <w:b w:val="0"/>
                <w:color w:val="000000"/>
                <w:sz w:val="17"/>
              </w:rPr>
              <w:t>Ch. 7</w:t>
            </w:r>
          </w:p>
        </w:tc>
      </w:tr>
      <w:tr>
        <w:tc>
          <w:tcPr>
            <w:tcW w:type="dxa" w:w="3000"/>
            <w:shd w:fill="FAFBFC"/>
            <w:vAlign w:val="center"/>
            <w:tcMar>
              <w:top w:w="80" w:type="dxa"/>
              <w:start w:w="120" w:type="dxa"/>
              <w:bottom w:w="80" w:type="dxa"/>
              <w:end w:w="120" w:type="dxa"/>
            </w:tcMar>
          </w:tcPr>
          <w:p>
            <w:pPr>
              <w:spacing w:after="0"/>
            </w:pPr>
            <w:r>
              <w:rPr>
                <w:rFonts w:ascii="Calibri" w:hAnsi="Calibri"/>
                <w:b w:val="0"/>
                <w:color w:val="000000"/>
                <w:sz w:val="17"/>
              </w:rPr>
              <w:t>Distinguish return from risk.</w:t>
            </w:r>
          </w:p>
        </w:tc>
        <w:tc>
          <w:tcPr>
            <w:tcW w:type="dxa" w:w="4350"/>
            <w:shd w:fill="FAFBFC"/>
            <w:vAlign w:val="center"/>
            <w:tcMar>
              <w:top w:w="80" w:type="dxa"/>
              <w:start w:w="120" w:type="dxa"/>
              <w:bottom w:w="80" w:type="dxa"/>
              <w:end w:w="120" w:type="dxa"/>
            </w:tcMar>
          </w:tcPr>
          <w:p>
            <w:pPr>
              <w:spacing w:after="0"/>
            </w:pPr>
            <w:r>
              <w:rPr>
                <w:rFonts w:ascii="Calibri" w:hAnsi="Calibri"/>
                <w:b w:val="0"/>
                <w:color w:val="000000"/>
                <w:sz w:val="17"/>
              </w:rPr>
              <w:t>Explain why leverage magnifies ROE and financial risk.</w:t>
            </w:r>
          </w:p>
        </w:tc>
        <w:tc>
          <w:tcPr>
            <w:tcW w:type="dxa" w:w="2010"/>
            <w:shd w:fill="FAFBFC"/>
            <w:vAlign w:val="center"/>
            <w:tcMar>
              <w:top w:w="80" w:type="dxa"/>
              <w:start w:w="120" w:type="dxa"/>
              <w:bottom w:w="80" w:type="dxa"/>
              <w:end w:w="120" w:type="dxa"/>
            </w:tcMar>
          </w:tcPr>
          <w:p>
            <w:pPr>
              <w:spacing w:after="0"/>
            </w:pPr>
            <w:r>
              <w:rPr>
                <w:rFonts w:ascii="Calibri" w:hAnsi="Calibri"/>
                <w:b w:val="0"/>
                <w:color w:val="000000"/>
                <w:sz w:val="17"/>
              </w:rPr>
              <w:t>Ch. 8</w:t>
            </w:r>
          </w:p>
        </w:tc>
      </w:tr>
      <w:tr>
        <w:tc>
          <w:tcPr>
            <w:tcW w:type="dxa" w:w="3000"/>
            <w:vAlign w:val="center"/>
            <w:tcMar>
              <w:top w:w="80" w:type="dxa"/>
              <w:start w:w="120" w:type="dxa"/>
              <w:bottom w:w="80" w:type="dxa"/>
              <w:end w:w="120" w:type="dxa"/>
            </w:tcMar>
          </w:tcPr>
          <w:p>
            <w:pPr>
              <w:spacing w:after="0"/>
            </w:pPr>
            <w:r>
              <w:rPr>
                <w:rFonts w:ascii="Calibri" w:hAnsi="Calibri"/>
                <w:b w:val="0"/>
                <w:color w:val="000000"/>
                <w:sz w:val="17"/>
              </w:rPr>
              <w:t>Control AI-assisted analysis.</w:t>
            </w:r>
          </w:p>
        </w:tc>
        <w:tc>
          <w:tcPr>
            <w:tcW w:type="dxa" w:w="4350"/>
            <w:vAlign w:val="center"/>
            <w:tcMar>
              <w:top w:w="80" w:type="dxa"/>
              <w:start w:w="120" w:type="dxa"/>
              <w:bottom w:w="80" w:type="dxa"/>
              <w:end w:w="120" w:type="dxa"/>
            </w:tcMar>
          </w:tcPr>
          <w:p>
            <w:pPr>
              <w:spacing w:after="0"/>
            </w:pPr>
            <w:r>
              <w:rPr>
                <w:rFonts w:ascii="Calibri" w:hAnsi="Calibri"/>
                <w:b w:val="0"/>
                <w:color w:val="000000"/>
                <w:sz w:val="17"/>
              </w:rPr>
              <w:t>Audit sources, formulas, code, visuals, and interpretations.</w:t>
            </w:r>
          </w:p>
        </w:tc>
        <w:tc>
          <w:tcPr>
            <w:tcW w:type="dxa" w:w="2010"/>
            <w:vAlign w:val="center"/>
            <w:tcMar>
              <w:top w:w="80" w:type="dxa"/>
              <w:start w:w="120" w:type="dxa"/>
              <w:bottom w:w="80" w:type="dxa"/>
              <w:end w:w="120" w:type="dxa"/>
            </w:tcMar>
          </w:tcPr>
          <w:p>
            <w:pPr>
              <w:spacing w:after="0"/>
            </w:pPr>
            <w:r>
              <w:rPr>
                <w:rFonts w:ascii="Calibri" w:hAnsi="Calibri"/>
                <w:b w:val="0"/>
                <w:color w:val="000000"/>
                <w:sz w:val="17"/>
              </w:rPr>
              <w:t>Across course</w:t>
            </w:r>
          </w:p>
        </w:tc>
      </w:tr>
    </w:tbl>
    <w:p>
      <w:pPr>
        <w:spacing w:after="0"/>
      </w:pPr>
    </w:p>
    <w:p>
      <w:pPr>
        <w:pStyle w:val="Heading1"/>
      </w:pPr>
      <w:r>
        <w:t>2. Instructor Preparation</w:t>
      </w:r>
    </w:p>
    <w:p>
      <w:pPr>
        <w:pStyle w:val="Heading2"/>
      </w:pPr>
      <w:r>
        <w:t>Before class</w:t>
      </w:r>
    </w:p>
    <w:p>
      <w:pPr>
        <w:pStyle w:val="ListBullet"/>
      </w:pPr>
      <w:r>
        <w:t>Post PG_Student_Group_Assignment_Complete.docx, PG_FinancialStory_Student.xlsx, the FY2025 annual report, requirements.txt, and the grading rubric.</w:t>
      </w:r>
    </w:p>
    <w:p>
      <w:pPr>
        <w:pStyle w:val="ListBullet"/>
      </w:pPr>
      <w:r>
        <w:t>Keep the instructor workbook, solution manual, solution Python, and finished visuals unpublished unless you plan to reveal them during class.</w:t>
      </w:r>
    </w:p>
    <w:p>
      <w:pPr>
        <w:pStyle w:val="ListBullet"/>
      </w:pPr>
      <w:r>
        <w:t>Run the solution program against the student workbook and confirm the six sanity checks pass.</w:t>
      </w:r>
    </w:p>
    <w:p>
      <w:pPr>
        <w:pStyle w:val="ListBullet"/>
      </w:pPr>
      <w:r>
        <w:t>Open the classroom deck in Presenter View so timing and facilitation notes remain visible to you.</w:t>
      </w:r>
    </w:p>
    <w:p>
      <w:pPr>
        <w:pStyle w:val="ListBullet"/>
      </w:pPr>
      <w:r>
        <w:t>Decide whether students will install Python locally, use a managed lab, or watch a live demo and complete coding outside class.</w:t>
      </w:r>
    </w:p>
    <w:p>
      <w:pPr>
        <w:pStyle w:val="ListBullet"/>
      </w:pPr>
      <w:r>
        <w:t>Form teams of approximately six and assign roles before the lab segment.</w:t>
      </w:r>
    </w:p>
    <w:p>
      <w:pPr>
        <w:pStyle w:val="ListBullet"/>
      </w:pPr>
      <w:r>
        <w:t>Prepare a backup folder containing the verified output images in case local Python installation fails.</w:t>
      </w:r>
    </w:p>
    <w:p>
      <w:pPr>
        <w:pStyle w:val="Heading2"/>
      </w:pPr>
      <w:r>
        <w:t>Room and technology</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1500"/>
        <w:gridCol w:w="4200"/>
        <w:gridCol w:w="3660"/>
      </w:tblGrid>
      <w:tr>
        <w:trPr>
          <w:tblHeader w:val="true"/>
        </w:trPr>
        <w:tc>
          <w:tcPr>
            <w:tcW w:type="dxa" w:w="1500"/>
            <w:vAlign w:val="center"/>
            <w:tcMar>
              <w:top w:w="80" w:type="dxa"/>
              <w:start w:w="120" w:type="dxa"/>
              <w:bottom w:w="80" w:type="dxa"/>
              <w:end w:w="120" w:type="dxa"/>
            </w:tcMar>
            <w:shd w:fill="E8EEF5"/>
          </w:tcPr>
          <w:p>
            <w:pPr>
              <w:spacing w:after="0"/>
            </w:pPr>
            <w:r>
              <w:rPr>
                <w:rFonts w:ascii="Calibri" w:hAnsi="Calibri"/>
                <w:b/>
                <w:color w:val="0B2545"/>
                <w:sz w:val="18"/>
              </w:rPr>
              <w:t>Need</w:t>
            </w:r>
          </w:p>
        </w:tc>
        <w:tc>
          <w:tcPr>
            <w:tcW w:type="dxa" w:w="4200"/>
            <w:vAlign w:val="center"/>
            <w:tcMar>
              <w:top w:w="80" w:type="dxa"/>
              <w:start w:w="120" w:type="dxa"/>
              <w:bottom w:w="80" w:type="dxa"/>
              <w:end w:w="120" w:type="dxa"/>
            </w:tcMar>
            <w:shd w:fill="E8EEF5"/>
          </w:tcPr>
          <w:p>
            <w:pPr>
              <w:spacing w:after="0"/>
            </w:pPr>
            <w:r>
              <w:rPr>
                <w:rFonts w:ascii="Calibri" w:hAnsi="Calibri"/>
                <w:b/>
                <w:color w:val="0B2545"/>
                <w:sz w:val="18"/>
              </w:rPr>
              <w:t>Preferred setup</w:t>
            </w:r>
          </w:p>
        </w:tc>
        <w:tc>
          <w:tcPr>
            <w:tcW w:type="dxa" w:w="3660"/>
            <w:vAlign w:val="center"/>
            <w:tcMar>
              <w:top w:w="80" w:type="dxa"/>
              <w:start w:w="120" w:type="dxa"/>
              <w:bottom w:w="80" w:type="dxa"/>
              <w:end w:w="120" w:type="dxa"/>
            </w:tcMar>
            <w:shd w:fill="E8EEF5"/>
          </w:tcPr>
          <w:p>
            <w:pPr>
              <w:spacing w:after="0"/>
            </w:pPr>
            <w:r>
              <w:rPr>
                <w:rFonts w:ascii="Calibri" w:hAnsi="Calibri"/>
                <w:b/>
                <w:color w:val="0B2545"/>
                <w:sz w:val="18"/>
              </w:rPr>
              <w:t>Fallback</w:t>
            </w:r>
          </w:p>
        </w:tc>
      </w:tr>
      <w:tr>
        <w:tc>
          <w:tcPr>
            <w:tcW w:type="dxa" w:w="1500"/>
            <w:vAlign w:val="center"/>
            <w:tcMar>
              <w:top w:w="80" w:type="dxa"/>
              <w:start w:w="120" w:type="dxa"/>
              <w:bottom w:w="80" w:type="dxa"/>
              <w:end w:w="120" w:type="dxa"/>
            </w:tcMar>
          </w:tcPr>
          <w:p>
            <w:pPr>
              <w:spacing w:after="0"/>
            </w:pPr>
            <w:r>
              <w:rPr>
                <w:rFonts w:ascii="Calibri" w:hAnsi="Calibri"/>
                <w:b w:val="0"/>
                <w:color w:val="000000"/>
                <w:sz w:val="18"/>
              </w:rPr>
              <w:t>Display</w:t>
            </w:r>
          </w:p>
        </w:tc>
        <w:tc>
          <w:tcPr>
            <w:tcW w:type="dxa" w:w="4200"/>
            <w:vAlign w:val="center"/>
            <w:tcMar>
              <w:top w:w="80" w:type="dxa"/>
              <w:start w:w="120" w:type="dxa"/>
              <w:bottom w:w="80" w:type="dxa"/>
              <w:end w:w="120" w:type="dxa"/>
            </w:tcMar>
          </w:tcPr>
          <w:p>
            <w:pPr>
              <w:spacing w:after="0"/>
            </w:pPr>
            <w:r>
              <w:rPr>
                <w:rFonts w:ascii="Calibri" w:hAnsi="Calibri"/>
                <w:b w:val="0"/>
                <w:color w:val="000000"/>
                <w:sz w:val="18"/>
              </w:rPr>
              <w:t>Projector with 16:9 PowerPoint and Presenter View.</w:t>
            </w:r>
          </w:p>
        </w:tc>
        <w:tc>
          <w:tcPr>
            <w:tcW w:type="dxa" w:w="3660"/>
            <w:vAlign w:val="center"/>
            <w:tcMar>
              <w:top w:w="80" w:type="dxa"/>
              <w:start w:w="120" w:type="dxa"/>
              <w:bottom w:w="80" w:type="dxa"/>
              <w:end w:w="120" w:type="dxa"/>
            </w:tcMar>
          </w:tcPr>
          <w:p>
            <w:pPr>
              <w:spacing w:after="0"/>
            </w:pPr>
            <w:r>
              <w:rPr>
                <w:rFonts w:ascii="Calibri" w:hAnsi="Calibri"/>
                <w:b w:val="0"/>
                <w:color w:val="000000"/>
                <w:sz w:val="18"/>
              </w:rPr>
              <w:t>PDF/printed slide thumbnails.</w:t>
            </w:r>
          </w:p>
        </w:tc>
      </w:tr>
      <w:tr>
        <w:tc>
          <w:tcPr>
            <w:tcW w:type="dxa" w:w="1500"/>
            <w:shd w:fill="FAFBFC"/>
            <w:vAlign w:val="center"/>
            <w:tcMar>
              <w:top w:w="80" w:type="dxa"/>
              <w:start w:w="120" w:type="dxa"/>
              <w:bottom w:w="80" w:type="dxa"/>
              <w:end w:w="120" w:type="dxa"/>
            </w:tcMar>
          </w:tcPr>
          <w:p>
            <w:pPr>
              <w:spacing w:after="0"/>
            </w:pPr>
            <w:r>
              <w:rPr>
                <w:rFonts w:ascii="Calibri" w:hAnsi="Calibri"/>
                <w:b w:val="0"/>
                <w:color w:val="000000"/>
                <w:sz w:val="18"/>
              </w:rPr>
              <w:t>Student devices</w:t>
            </w:r>
          </w:p>
        </w:tc>
        <w:tc>
          <w:tcPr>
            <w:tcW w:type="dxa" w:w="4200"/>
            <w:shd w:fill="FAFBFC"/>
            <w:vAlign w:val="center"/>
            <w:tcMar>
              <w:top w:w="80" w:type="dxa"/>
              <w:start w:w="120" w:type="dxa"/>
              <w:bottom w:w="80" w:type="dxa"/>
              <w:end w:w="120" w:type="dxa"/>
            </w:tcMar>
          </w:tcPr>
          <w:p>
            <w:pPr>
              <w:spacing w:after="0"/>
            </w:pPr>
            <w:r>
              <w:rPr>
                <w:rFonts w:ascii="Calibri" w:hAnsi="Calibri"/>
                <w:b w:val="0"/>
                <w:color w:val="000000"/>
                <w:sz w:val="18"/>
              </w:rPr>
              <w:t>One laptop per team with Python and Excel.</w:t>
            </w:r>
          </w:p>
        </w:tc>
        <w:tc>
          <w:tcPr>
            <w:tcW w:type="dxa" w:w="3660"/>
            <w:shd w:fill="FAFBFC"/>
            <w:vAlign w:val="center"/>
            <w:tcMar>
              <w:top w:w="80" w:type="dxa"/>
              <w:start w:w="120" w:type="dxa"/>
              <w:bottom w:w="80" w:type="dxa"/>
              <w:end w:w="120" w:type="dxa"/>
            </w:tcMar>
          </w:tcPr>
          <w:p>
            <w:pPr>
              <w:spacing w:after="0"/>
            </w:pPr>
            <w:r>
              <w:rPr>
                <w:rFonts w:ascii="Calibri" w:hAnsi="Calibri"/>
                <w:b w:val="0"/>
                <w:color w:val="000000"/>
                <w:sz w:val="18"/>
              </w:rPr>
              <w:t>Instructor demo plus paper audit activities.</w:t>
            </w:r>
          </w:p>
        </w:tc>
      </w:tr>
      <w:tr>
        <w:tc>
          <w:tcPr>
            <w:tcW w:type="dxa" w:w="1500"/>
            <w:vAlign w:val="center"/>
            <w:tcMar>
              <w:top w:w="80" w:type="dxa"/>
              <w:start w:w="120" w:type="dxa"/>
              <w:bottom w:w="80" w:type="dxa"/>
              <w:end w:w="120" w:type="dxa"/>
            </w:tcMar>
          </w:tcPr>
          <w:p>
            <w:pPr>
              <w:spacing w:after="0"/>
            </w:pPr>
            <w:r>
              <w:rPr>
                <w:rFonts w:ascii="Calibri" w:hAnsi="Calibri"/>
                <w:b w:val="0"/>
                <w:color w:val="000000"/>
                <w:sz w:val="18"/>
              </w:rPr>
              <w:t>AI access</w:t>
            </w:r>
          </w:p>
        </w:tc>
        <w:tc>
          <w:tcPr>
            <w:tcW w:type="dxa" w:w="4200"/>
            <w:vAlign w:val="center"/>
            <w:tcMar>
              <w:top w:w="80" w:type="dxa"/>
              <w:start w:w="120" w:type="dxa"/>
              <w:bottom w:w="80" w:type="dxa"/>
              <w:end w:w="120" w:type="dxa"/>
            </w:tcMar>
          </w:tcPr>
          <w:p>
            <w:pPr>
              <w:spacing w:after="0"/>
            </w:pPr>
            <w:r>
              <w:rPr>
                <w:rFonts w:ascii="Calibri" w:hAnsi="Calibri"/>
                <w:b w:val="0"/>
                <w:color w:val="000000"/>
                <w:sz w:val="18"/>
              </w:rPr>
              <w:t>Approved AI tool capable of handling prompt text and code.</w:t>
            </w:r>
          </w:p>
        </w:tc>
        <w:tc>
          <w:tcPr>
            <w:tcW w:type="dxa" w:w="3660"/>
            <w:vAlign w:val="center"/>
            <w:tcMar>
              <w:top w:w="80" w:type="dxa"/>
              <w:start w:w="120" w:type="dxa"/>
              <w:bottom w:w="80" w:type="dxa"/>
              <w:end w:w="120" w:type="dxa"/>
            </w:tcMar>
          </w:tcPr>
          <w:p>
            <w:pPr>
              <w:spacing w:after="0"/>
            </w:pPr>
            <w:r>
              <w:rPr>
                <w:rFonts w:ascii="Calibri" w:hAnsi="Calibri"/>
                <w:b w:val="0"/>
                <w:color w:val="000000"/>
                <w:sz w:val="18"/>
              </w:rPr>
              <w:t>Provide a printed AI draft for critique.</w:t>
            </w:r>
          </w:p>
        </w:tc>
      </w:tr>
      <w:tr>
        <w:tc>
          <w:tcPr>
            <w:tcW w:type="dxa" w:w="1500"/>
            <w:shd w:fill="FAFBFC"/>
            <w:vAlign w:val="center"/>
            <w:tcMar>
              <w:top w:w="80" w:type="dxa"/>
              <w:start w:w="120" w:type="dxa"/>
              <w:bottom w:w="80" w:type="dxa"/>
              <w:end w:w="120" w:type="dxa"/>
            </w:tcMar>
          </w:tcPr>
          <w:p>
            <w:pPr>
              <w:spacing w:after="0"/>
            </w:pPr>
            <w:r>
              <w:rPr>
                <w:rFonts w:ascii="Calibri" w:hAnsi="Calibri"/>
                <w:b w:val="0"/>
                <w:color w:val="000000"/>
                <w:sz w:val="18"/>
              </w:rPr>
              <w:t>Files</w:t>
            </w:r>
          </w:p>
        </w:tc>
        <w:tc>
          <w:tcPr>
            <w:tcW w:type="dxa" w:w="4200"/>
            <w:shd w:fill="FAFBFC"/>
            <w:vAlign w:val="center"/>
            <w:tcMar>
              <w:top w:w="80" w:type="dxa"/>
              <w:start w:w="120" w:type="dxa"/>
              <w:bottom w:w="80" w:type="dxa"/>
              <w:end w:w="120" w:type="dxa"/>
            </w:tcMar>
          </w:tcPr>
          <w:p>
            <w:pPr>
              <w:spacing w:after="0"/>
            </w:pPr>
            <w:r>
              <w:rPr>
                <w:rFonts w:ascii="Calibri" w:hAnsi="Calibri"/>
                <w:b w:val="0"/>
                <w:color w:val="000000"/>
                <w:sz w:val="18"/>
              </w:rPr>
              <w:t>One shared folder per team.</w:t>
            </w:r>
          </w:p>
        </w:tc>
        <w:tc>
          <w:tcPr>
            <w:tcW w:type="dxa" w:w="3660"/>
            <w:shd w:fill="FAFBFC"/>
            <w:vAlign w:val="center"/>
            <w:tcMar>
              <w:top w:w="80" w:type="dxa"/>
              <w:start w:w="120" w:type="dxa"/>
              <w:bottom w:w="80" w:type="dxa"/>
              <w:end w:w="120" w:type="dxa"/>
            </w:tcMar>
          </w:tcPr>
          <w:p>
            <w:pPr>
              <w:spacing w:after="0"/>
            </w:pPr>
            <w:r>
              <w:rPr>
                <w:rFonts w:ascii="Calibri" w:hAnsi="Calibri"/>
                <w:b w:val="0"/>
                <w:color w:val="000000"/>
                <w:sz w:val="18"/>
              </w:rPr>
              <w:t>USB or LMS download package.</w:t>
            </w:r>
          </w:p>
        </w:tc>
      </w:tr>
      <w:tr>
        <w:tc>
          <w:tcPr>
            <w:tcW w:type="dxa" w:w="1500"/>
            <w:vAlign w:val="center"/>
            <w:tcMar>
              <w:top w:w="80" w:type="dxa"/>
              <w:start w:w="120" w:type="dxa"/>
              <w:bottom w:w="80" w:type="dxa"/>
              <w:end w:w="120" w:type="dxa"/>
            </w:tcMar>
          </w:tcPr>
          <w:p>
            <w:pPr>
              <w:spacing w:after="0"/>
            </w:pPr>
            <w:r>
              <w:rPr>
                <w:rFonts w:ascii="Calibri" w:hAnsi="Calibri"/>
                <w:b w:val="0"/>
                <w:color w:val="000000"/>
                <w:sz w:val="18"/>
              </w:rPr>
              <w:t>Submission</w:t>
            </w:r>
          </w:p>
        </w:tc>
        <w:tc>
          <w:tcPr>
            <w:tcW w:type="dxa" w:w="4200"/>
            <w:vAlign w:val="center"/>
            <w:tcMar>
              <w:top w:w="80" w:type="dxa"/>
              <w:start w:w="120" w:type="dxa"/>
              <w:bottom w:w="80" w:type="dxa"/>
              <w:end w:w="120" w:type="dxa"/>
            </w:tcMar>
          </w:tcPr>
          <w:p>
            <w:pPr>
              <w:spacing w:after="0"/>
            </w:pPr>
            <w:r>
              <w:rPr>
                <w:rFonts w:ascii="Calibri" w:hAnsi="Calibri"/>
                <w:b w:val="0"/>
                <w:color w:val="000000"/>
                <w:sz w:val="18"/>
              </w:rPr>
              <w:t>One group upload plus individual oral checks.</w:t>
            </w:r>
          </w:p>
        </w:tc>
        <w:tc>
          <w:tcPr>
            <w:tcW w:type="dxa" w:w="3660"/>
            <w:vAlign w:val="center"/>
            <w:tcMar>
              <w:top w:w="80" w:type="dxa"/>
              <w:start w:w="120" w:type="dxa"/>
              <w:bottom w:w="80" w:type="dxa"/>
              <w:end w:w="120" w:type="dxa"/>
            </w:tcMar>
          </w:tcPr>
          <w:p>
            <w:pPr>
              <w:spacing w:after="0"/>
            </w:pPr>
            <w:r>
              <w:rPr>
                <w:rFonts w:ascii="Calibri" w:hAnsi="Calibri"/>
                <w:b w:val="0"/>
                <w:color w:val="000000"/>
                <w:sz w:val="18"/>
              </w:rPr>
              <w:t>Exit ticket plus later group upload.</w:t>
            </w:r>
          </w:p>
        </w:tc>
      </w:tr>
    </w:tbl>
    <w:p>
      <w:pPr>
        <w:spacing w:after="0"/>
      </w:pPr>
    </w:p>
    <w:p>
      <w:pPr>
        <w:pStyle w:val="Heading2"/>
      </w:pPr>
      <w:r>
        <w:t>Student prework</w:t>
      </w:r>
    </w:p>
    <w:p>
      <w:pPr>
        <w:pStyle w:val="ListBullet"/>
      </w:pPr>
      <w:r>
        <w:t>Read the 00_ReadMe worksheet and inspect the 01_Input Metric_ID structure.</w:t>
      </w:r>
    </w:p>
    <w:p>
      <w:pPr>
        <w:pStyle w:val="ListBullet"/>
      </w:pPr>
      <w:r>
        <w:t>Bring the student assignment and workbook to class.</w:t>
      </w:r>
    </w:p>
    <w:p>
      <w:pPr>
        <w:pStyle w:val="ListBullet"/>
      </w:pPr>
      <w:r>
        <w:t>Install packages with: python -m pip install -r requirements.txt.</w:t>
      </w:r>
    </w:p>
    <w:p>
      <w:pPr>
        <w:pStyle w:val="ListBullet"/>
      </w:pPr>
      <w:r>
        <w:t>Write a one-sentence prediction: Will P&amp;G's EPS growth be faster or slower than revenue growth, and why?</w:t>
      </w:r>
    </w:p>
    <w:p>
      <w:pPr>
        <w:pStyle w:val="Heading1"/>
      </w:pPr>
      <w:r>
        <w:t>3. Master 240-Minute Run of Show</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1100"/>
        <w:gridCol w:w="900"/>
        <w:gridCol w:w="4800"/>
        <w:gridCol w:w="2560"/>
      </w:tblGrid>
      <w:tr>
        <w:trPr>
          <w:tblHeader w:val="true"/>
        </w:trPr>
        <w:tc>
          <w:tcPr>
            <w:tcW w:type="dxa" w:w="1100"/>
            <w:vAlign w:val="center"/>
            <w:tcMar>
              <w:top w:w="80" w:type="dxa"/>
              <w:start w:w="120" w:type="dxa"/>
              <w:bottom w:w="80" w:type="dxa"/>
              <w:end w:w="120" w:type="dxa"/>
            </w:tcMar>
            <w:shd w:fill="E8EEF5"/>
          </w:tcPr>
          <w:p>
            <w:pPr>
              <w:spacing w:after="0"/>
            </w:pPr>
            <w:r>
              <w:rPr>
                <w:rFonts w:ascii="Calibri" w:hAnsi="Calibri"/>
                <w:b/>
                <w:color w:val="0B2545"/>
                <w:sz w:val="16"/>
              </w:rPr>
              <w:t>Minutes</w:t>
            </w:r>
          </w:p>
        </w:tc>
        <w:tc>
          <w:tcPr>
            <w:tcW w:type="dxa" w:w="900"/>
            <w:vAlign w:val="center"/>
            <w:tcMar>
              <w:top w:w="80" w:type="dxa"/>
              <w:start w:w="120" w:type="dxa"/>
              <w:bottom w:w="80" w:type="dxa"/>
              <w:end w:w="120" w:type="dxa"/>
            </w:tcMar>
            <w:shd w:fill="E8EEF5"/>
          </w:tcPr>
          <w:p>
            <w:pPr>
              <w:spacing w:after="0"/>
            </w:pPr>
            <w:r>
              <w:rPr>
                <w:rFonts w:ascii="Calibri" w:hAnsi="Calibri"/>
                <w:b/>
                <w:color w:val="0B2545"/>
                <w:sz w:val="16"/>
              </w:rPr>
              <w:t>Slides</w:t>
            </w:r>
          </w:p>
        </w:tc>
        <w:tc>
          <w:tcPr>
            <w:tcW w:type="dxa" w:w="4800"/>
            <w:vAlign w:val="center"/>
            <w:tcMar>
              <w:top w:w="80" w:type="dxa"/>
              <w:start w:w="120" w:type="dxa"/>
              <w:bottom w:w="80" w:type="dxa"/>
              <w:end w:w="120" w:type="dxa"/>
            </w:tcMar>
            <w:shd w:fill="E8EEF5"/>
          </w:tcPr>
          <w:p>
            <w:pPr>
              <w:spacing w:after="0"/>
            </w:pPr>
            <w:r>
              <w:rPr>
                <w:rFonts w:ascii="Calibri" w:hAnsi="Calibri"/>
                <w:b/>
                <w:color w:val="0B2545"/>
                <w:sz w:val="16"/>
              </w:rPr>
              <w:t>Learning move</w:t>
            </w:r>
          </w:p>
        </w:tc>
        <w:tc>
          <w:tcPr>
            <w:tcW w:type="dxa" w:w="2560"/>
            <w:vAlign w:val="center"/>
            <w:tcMar>
              <w:top w:w="80" w:type="dxa"/>
              <w:start w:w="120" w:type="dxa"/>
              <w:bottom w:w="80" w:type="dxa"/>
              <w:end w:w="120" w:type="dxa"/>
            </w:tcMar>
            <w:shd w:fill="E8EEF5"/>
          </w:tcPr>
          <w:p>
            <w:pPr>
              <w:spacing w:after="0"/>
            </w:pPr>
            <w:r>
              <w:rPr>
                <w:rFonts w:ascii="Calibri" w:hAnsi="Calibri"/>
                <w:b/>
                <w:color w:val="0B2545"/>
                <w:sz w:val="16"/>
              </w:rPr>
              <w:t>Student evidence</w:t>
            </w:r>
          </w:p>
        </w:tc>
      </w:tr>
      <w:tr>
        <w:tc>
          <w:tcPr>
            <w:tcW w:type="dxa" w:w="1100"/>
            <w:vAlign w:val="center"/>
            <w:tcMar>
              <w:top w:w="80" w:type="dxa"/>
              <w:start w:w="120" w:type="dxa"/>
              <w:bottom w:w="80" w:type="dxa"/>
              <w:end w:w="120" w:type="dxa"/>
            </w:tcMar>
          </w:tcPr>
          <w:p>
            <w:pPr>
              <w:spacing w:after="0"/>
            </w:pPr>
            <w:r>
              <w:rPr>
                <w:rFonts w:ascii="Calibri" w:hAnsi="Calibri"/>
                <w:b w:val="0"/>
                <w:color w:val="000000"/>
                <w:sz w:val="16"/>
              </w:rPr>
              <w:t>0-10</w:t>
            </w:r>
          </w:p>
        </w:tc>
        <w:tc>
          <w:tcPr>
            <w:tcW w:type="dxa" w:w="900"/>
            <w:vAlign w:val="center"/>
            <w:tcMar>
              <w:top w:w="80" w:type="dxa"/>
              <w:start w:w="120" w:type="dxa"/>
              <w:bottom w:w="80" w:type="dxa"/>
              <w:end w:w="120" w:type="dxa"/>
            </w:tcMar>
          </w:tcPr>
          <w:p>
            <w:pPr>
              <w:spacing w:after="0"/>
            </w:pPr>
            <w:r>
              <w:rPr>
                <w:rFonts w:ascii="Calibri" w:hAnsi="Calibri"/>
                <w:b w:val="0"/>
                <w:color w:val="000000"/>
                <w:sz w:val="16"/>
              </w:rPr>
              <w:t>1-4</w:t>
            </w:r>
          </w:p>
        </w:tc>
        <w:tc>
          <w:tcPr>
            <w:tcW w:type="dxa" w:w="4800"/>
            <w:vAlign w:val="center"/>
            <w:tcMar>
              <w:top w:w="80" w:type="dxa"/>
              <w:start w:w="120" w:type="dxa"/>
              <w:bottom w:w="80" w:type="dxa"/>
              <w:end w:w="120" w:type="dxa"/>
            </w:tcMar>
          </w:tcPr>
          <w:p>
            <w:pPr>
              <w:spacing w:after="0"/>
            </w:pPr>
            <w:r>
              <w:rPr>
                <w:rFonts w:ascii="Calibri" w:hAnsi="Calibri"/>
                <w:b w:val="0"/>
                <w:color w:val="000000"/>
                <w:sz w:val="16"/>
              </w:rPr>
              <w:t>Open with the earnings-versus-sales question; reveal the four-lens dashboard.</w:t>
            </w:r>
          </w:p>
        </w:tc>
        <w:tc>
          <w:tcPr>
            <w:tcW w:type="dxa" w:w="2560"/>
            <w:vAlign w:val="center"/>
            <w:tcMar>
              <w:top w:w="80" w:type="dxa"/>
              <w:start w:w="120" w:type="dxa"/>
              <w:bottom w:w="80" w:type="dxa"/>
              <w:end w:w="120" w:type="dxa"/>
            </w:tcMar>
          </w:tcPr>
          <w:p>
            <w:pPr>
              <w:spacing w:after="0"/>
            </w:pPr>
            <w:r>
              <w:rPr>
                <w:rFonts w:ascii="Calibri" w:hAnsi="Calibri"/>
                <w:b w:val="0"/>
                <w:color w:val="000000"/>
                <w:sz w:val="16"/>
              </w:rPr>
              <w:t>Initial prediction and one question.</w:t>
            </w:r>
          </w:p>
        </w:tc>
      </w:tr>
      <w:tr>
        <w:tc>
          <w:tcPr>
            <w:tcW w:type="dxa" w:w="1100"/>
            <w:shd w:fill="FAFBFC"/>
            <w:vAlign w:val="center"/>
            <w:tcMar>
              <w:top w:w="80" w:type="dxa"/>
              <w:start w:w="120" w:type="dxa"/>
              <w:bottom w:w="80" w:type="dxa"/>
              <w:end w:w="120" w:type="dxa"/>
            </w:tcMar>
          </w:tcPr>
          <w:p>
            <w:pPr>
              <w:spacing w:after="0"/>
            </w:pPr>
            <w:r>
              <w:rPr>
                <w:rFonts w:ascii="Calibri" w:hAnsi="Calibri"/>
                <w:b w:val="0"/>
                <w:color w:val="000000"/>
                <w:sz w:val="16"/>
              </w:rPr>
              <w:t>10-25</w:t>
            </w:r>
          </w:p>
        </w:tc>
        <w:tc>
          <w:tcPr>
            <w:tcW w:type="dxa" w:w="900"/>
            <w:shd w:fill="FAFBFC"/>
            <w:vAlign w:val="center"/>
            <w:tcMar>
              <w:top w:w="80" w:type="dxa"/>
              <w:start w:w="120" w:type="dxa"/>
              <w:bottom w:w="80" w:type="dxa"/>
              <w:end w:w="120" w:type="dxa"/>
            </w:tcMar>
          </w:tcPr>
          <w:p>
            <w:pPr>
              <w:spacing w:after="0"/>
            </w:pPr>
            <w:r>
              <w:rPr>
                <w:rFonts w:ascii="Calibri" w:hAnsi="Calibri"/>
                <w:b w:val="0"/>
                <w:color w:val="000000"/>
                <w:sz w:val="16"/>
              </w:rPr>
              <w:t>5-8</w:t>
            </w:r>
          </w:p>
        </w:tc>
        <w:tc>
          <w:tcPr>
            <w:tcW w:type="dxa" w:w="4800"/>
            <w:shd w:fill="FAFBFC"/>
            <w:vAlign w:val="center"/>
            <w:tcMar>
              <w:top w:w="80" w:type="dxa"/>
              <w:start w:w="120" w:type="dxa"/>
              <w:bottom w:w="80" w:type="dxa"/>
              <w:end w:w="120" w:type="dxa"/>
            </w:tcMar>
          </w:tcPr>
          <w:p>
            <w:pPr>
              <w:spacing w:after="0"/>
            </w:pPr>
            <w:r>
              <w:rPr>
                <w:rFonts w:ascii="Calibri" w:hAnsi="Calibri"/>
                <w:b w:val="0"/>
                <w:color w:val="000000"/>
                <w:sz w:val="16"/>
              </w:rPr>
              <w:t>Orient teams to the assignment, roles, source hierarchy, and story map.</w:t>
            </w:r>
          </w:p>
        </w:tc>
        <w:tc>
          <w:tcPr>
            <w:tcW w:type="dxa" w:w="2560"/>
            <w:shd w:fill="FAFBFC"/>
            <w:vAlign w:val="center"/>
            <w:tcMar>
              <w:top w:w="80" w:type="dxa"/>
              <w:start w:w="120" w:type="dxa"/>
              <w:bottom w:w="80" w:type="dxa"/>
              <w:end w:w="120" w:type="dxa"/>
            </w:tcMar>
          </w:tcPr>
          <w:p>
            <w:pPr>
              <w:spacing w:after="0"/>
            </w:pPr>
            <w:r>
              <w:rPr>
                <w:rFonts w:ascii="Calibri" w:hAnsi="Calibri"/>
                <w:b w:val="0"/>
                <w:color w:val="000000"/>
                <w:sz w:val="16"/>
              </w:rPr>
              <w:t>Role assignments and source trace.</w:t>
            </w:r>
          </w:p>
        </w:tc>
      </w:tr>
      <w:tr>
        <w:tc>
          <w:tcPr>
            <w:tcW w:type="dxa" w:w="1100"/>
            <w:vAlign w:val="center"/>
            <w:tcMar>
              <w:top w:w="80" w:type="dxa"/>
              <w:start w:w="120" w:type="dxa"/>
              <w:bottom w:w="80" w:type="dxa"/>
              <w:end w:w="120" w:type="dxa"/>
            </w:tcMar>
          </w:tcPr>
          <w:p>
            <w:pPr>
              <w:spacing w:after="0"/>
            </w:pPr>
            <w:r>
              <w:rPr>
                <w:rFonts w:ascii="Calibri" w:hAnsi="Calibri"/>
                <w:b w:val="0"/>
                <w:color w:val="000000"/>
                <w:sz w:val="16"/>
              </w:rPr>
              <w:t>25-50</w:t>
            </w:r>
          </w:p>
        </w:tc>
        <w:tc>
          <w:tcPr>
            <w:tcW w:type="dxa" w:w="900"/>
            <w:vAlign w:val="center"/>
            <w:tcMar>
              <w:top w:w="80" w:type="dxa"/>
              <w:start w:w="120" w:type="dxa"/>
              <w:bottom w:w="80" w:type="dxa"/>
              <w:end w:w="120" w:type="dxa"/>
            </w:tcMar>
          </w:tcPr>
          <w:p>
            <w:pPr>
              <w:spacing w:after="0"/>
            </w:pPr>
            <w:r>
              <w:rPr>
                <w:rFonts w:ascii="Calibri" w:hAnsi="Calibri"/>
                <w:b w:val="0"/>
                <w:color w:val="000000"/>
                <w:sz w:val="16"/>
              </w:rPr>
              <w:t>9-12</w:t>
            </w:r>
          </w:p>
        </w:tc>
        <w:tc>
          <w:tcPr>
            <w:tcW w:type="dxa" w:w="4800"/>
            <w:vAlign w:val="center"/>
            <w:tcMar>
              <w:top w:w="80" w:type="dxa"/>
              <w:start w:w="120" w:type="dxa"/>
              <w:bottom w:w="80" w:type="dxa"/>
              <w:end w:w="120" w:type="dxa"/>
            </w:tcMar>
          </w:tcPr>
          <w:p>
            <w:pPr>
              <w:spacing w:after="0"/>
            </w:pPr>
            <w:r>
              <w:rPr>
                <w:rFonts w:ascii="Calibri" w:hAnsi="Calibri"/>
                <w:b w:val="0"/>
                <w:color w:val="000000"/>
                <w:sz w:val="16"/>
              </w:rPr>
              <w:t>Teach income-statement flow; run the Sankey classification/reconciliation activity.</w:t>
            </w:r>
          </w:p>
        </w:tc>
        <w:tc>
          <w:tcPr>
            <w:tcW w:type="dxa" w:w="2560"/>
            <w:vAlign w:val="center"/>
            <w:tcMar>
              <w:top w:w="80" w:type="dxa"/>
              <w:start w:w="120" w:type="dxa"/>
              <w:bottom w:w="80" w:type="dxa"/>
              <w:end w:w="120" w:type="dxa"/>
            </w:tcMar>
          </w:tcPr>
          <w:p>
            <w:pPr>
              <w:spacing w:after="0"/>
            </w:pPr>
            <w:r>
              <w:rPr>
                <w:rFonts w:ascii="Calibri" w:hAnsi="Calibri"/>
                <w:b w:val="0"/>
                <w:color w:val="000000"/>
                <w:sz w:val="16"/>
              </w:rPr>
              <w:t>Balanced node and classification correction.</w:t>
            </w:r>
          </w:p>
        </w:tc>
      </w:tr>
      <w:tr>
        <w:tc>
          <w:tcPr>
            <w:tcW w:type="dxa" w:w="1100"/>
            <w:shd w:fill="FAFBFC"/>
            <w:vAlign w:val="center"/>
            <w:tcMar>
              <w:top w:w="80" w:type="dxa"/>
              <w:start w:w="120" w:type="dxa"/>
              <w:bottom w:w="80" w:type="dxa"/>
              <w:end w:w="120" w:type="dxa"/>
            </w:tcMar>
          </w:tcPr>
          <w:p>
            <w:pPr>
              <w:spacing w:after="0"/>
            </w:pPr>
            <w:r>
              <w:rPr>
                <w:rFonts w:ascii="Calibri" w:hAnsi="Calibri"/>
                <w:b w:val="0"/>
                <w:color w:val="000000"/>
                <w:sz w:val="16"/>
              </w:rPr>
              <w:t>50-80</w:t>
            </w:r>
          </w:p>
        </w:tc>
        <w:tc>
          <w:tcPr>
            <w:tcW w:type="dxa" w:w="900"/>
            <w:shd w:fill="FAFBFC"/>
            <w:vAlign w:val="center"/>
            <w:tcMar>
              <w:top w:w="80" w:type="dxa"/>
              <w:start w:w="120" w:type="dxa"/>
              <w:bottom w:w="80" w:type="dxa"/>
              <w:end w:w="120" w:type="dxa"/>
            </w:tcMar>
          </w:tcPr>
          <w:p>
            <w:pPr>
              <w:spacing w:after="0"/>
            </w:pPr>
            <w:r>
              <w:rPr>
                <w:rFonts w:ascii="Calibri" w:hAnsi="Calibri"/>
                <w:b w:val="0"/>
                <w:color w:val="000000"/>
                <w:sz w:val="16"/>
              </w:rPr>
              <w:t>13-18</w:t>
            </w:r>
          </w:p>
        </w:tc>
        <w:tc>
          <w:tcPr>
            <w:tcW w:type="dxa" w:w="4800"/>
            <w:shd w:fill="FAFBFC"/>
            <w:vAlign w:val="center"/>
            <w:tcMar>
              <w:top w:w="80" w:type="dxa"/>
              <w:start w:w="120" w:type="dxa"/>
              <w:bottom w:w="80" w:type="dxa"/>
              <w:end w:w="120" w:type="dxa"/>
            </w:tcMar>
          </w:tcPr>
          <w:p>
            <w:pPr>
              <w:spacing w:after="0"/>
            </w:pPr>
            <w:r>
              <w:rPr>
                <w:rFonts w:ascii="Calibri" w:hAnsi="Calibri"/>
                <w:b w:val="0"/>
                <w:color w:val="000000"/>
                <w:sz w:val="16"/>
              </w:rPr>
              <w:t>Contrast profit and cash; build the FCF bridge; diagnose the CapEx sign error.</w:t>
            </w:r>
          </w:p>
        </w:tc>
        <w:tc>
          <w:tcPr>
            <w:tcW w:type="dxa" w:w="2560"/>
            <w:shd w:fill="FAFBFC"/>
            <w:vAlign w:val="center"/>
            <w:tcMar>
              <w:top w:w="80" w:type="dxa"/>
              <w:start w:w="120" w:type="dxa"/>
              <w:bottom w:w="80" w:type="dxa"/>
              <w:end w:w="120" w:type="dxa"/>
            </w:tcMar>
          </w:tcPr>
          <w:p>
            <w:pPr>
              <w:spacing w:after="0"/>
            </w:pPr>
            <w:r>
              <w:rPr>
                <w:rFonts w:ascii="Calibri" w:hAnsi="Calibri"/>
                <w:b w:val="0"/>
                <w:color w:val="000000"/>
                <w:sz w:val="16"/>
              </w:rPr>
              <w:t>Correct sign logic and residual explanation.</w:t>
            </w:r>
          </w:p>
        </w:tc>
      </w:tr>
      <w:tr>
        <w:tc>
          <w:tcPr>
            <w:tcW w:type="dxa" w:w="1100"/>
            <w:vAlign w:val="center"/>
            <w:tcMar>
              <w:top w:w="80" w:type="dxa"/>
              <w:start w:w="120" w:type="dxa"/>
              <w:bottom w:w="80" w:type="dxa"/>
              <w:end w:w="120" w:type="dxa"/>
            </w:tcMar>
          </w:tcPr>
          <w:p>
            <w:pPr>
              <w:spacing w:after="0"/>
            </w:pPr>
            <w:r>
              <w:rPr>
                <w:rFonts w:ascii="Calibri" w:hAnsi="Calibri"/>
                <w:b w:val="0"/>
                <w:color w:val="000000"/>
                <w:sz w:val="16"/>
              </w:rPr>
              <w:t>80-90</w:t>
            </w:r>
          </w:p>
        </w:tc>
        <w:tc>
          <w:tcPr>
            <w:tcW w:type="dxa" w:w="900"/>
            <w:vAlign w:val="center"/>
            <w:tcMar>
              <w:top w:w="80" w:type="dxa"/>
              <w:start w:w="120" w:type="dxa"/>
              <w:bottom w:w="80" w:type="dxa"/>
              <w:end w:w="120" w:type="dxa"/>
            </w:tcMar>
          </w:tcPr>
          <w:p>
            <w:pPr>
              <w:spacing w:after="0"/>
            </w:pPr>
            <w:r>
              <w:rPr>
                <w:rFonts w:ascii="Calibri" w:hAnsi="Calibri"/>
                <w:b w:val="0"/>
                <w:color w:val="000000"/>
                <w:sz w:val="16"/>
              </w:rPr>
              <w:t>Break</w:t>
            </w:r>
          </w:p>
        </w:tc>
        <w:tc>
          <w:tcPr>
            <w:tcW w:type="dxa" w:w="4800"/>
            <w:vAlign w:val="center"/>
            <w:tcMar>
              <w:top w:w="80" w:type="dxa"/>
              <w:start w:w="120" w:type="dxa"/>
              <w:bottom w:w="80" w:type="dxa"/>
              <w:end w:w="120" w:type="dxa"/>
            </w:tcMar>
          </w:tcPr>
          <w:p>
            <w:pPr>
              <w:spacing w:after="0"/>
            </w:pPr>
            <w:r>
              <w:rPr>
                <w:rFonts w:ascii="Calibri" w:hAnsi="Calibri"/>
                <w:b w:val="0"/>
                <w:color w:val="000000"/>
                <w:sz w:val="16"/>
              </w:rPr>
              <w:t>Pause and reset.</w:t>
            </w:r>
          </w:p>
        </w:tc>
        <w:tc>
          <w:tcPr>
            <w:tcW w:type="dxa" w:w="2560"/>
            <w:vAlign w:val="center"/>
            <w:tcMar>
              <w:top w:w="80" w:type="dxa"/>
              <w:start w:w="120" w:type="dxa"/>
              <w:bottom w:w="80" w:type="dxa"/>
              <w:end w:w="120" w:type="dxa"/>
            </w:tcMar>
          </w:tcPr>
          <w:p>
            <w:pPr>
              <w:spacing w:after="0"/>
            </w:pPr>
            <w:r>
              <w:rPr>
                <w:rFonts w:ascii="Calibri" w:hAnsi="Calibri"/>
                <w:b w:val="0"/>
                <w:color w:val="000000"/>
                <w:sz w:val="16"/>
              </w:rPr>
              <w:t>None.</w:t>
            </w:r>
          </w:p>
        </w:tc>
      </w:tr>
      <w:tr>
        <w:tc>
          <w:tcPr>
            <w:tcW w:type="dxa" w:w="1100"/>
            <w:shd w:fill="FAFBFC"/>
            <w:vAlign w:val="center"/>
            <w:tcMar>
              <w:top w:w="80" w:type="dxa"/>
              <w:start w:w="120" w:type="dxa"/>
              <w:bottom w:w="80" w:type="dxa"/>
              <w:end w:w="120" w:type="dxa"/>
            </w:tcMar>
          </w:tcPr>
          <w:p>
            <w:pPr>
              <w:spacing w:after="0"/>
            </w:pPr>
            <w:r>
              <w:rPr>
                <w:rFonts w:ascii="Calibri" w:hAnsi="Calibri"/>
                <w:b w:val="0"/>
                <w:color w:val="000000"/>
                <w:sz w:val="16"/>
              </w:rPr>
              <w:t>90-110</w:t>
            </w:r>
          </w:p>
        </w:tc>
        <w:tc>
          <w:tcPr>
            <w:tcW w:type="dxa" w:w="900"/>
            <w:shd w:fill="FAFBFC"/>
            <w:vAlign w:val="center"/>
            <w:tcMar>
              <w:top w:w="80" w:type="dxa"/>
              <w:start w:w="120" w:type="dxa"/>
              <w:bottom w:w="80" w:type="dxa"/>
              <w:end w:w="120" w:type="dxa"/>
            </w:tcMar>
          </w:tcPr>
          <w:p>
            <w:pPr>
              <w:spacing w:after="0"/>
            </w:pPr>
            <w:r>
              <w:rPr>
                <w:rFonts w:ascii="Calibri" w:hAnsi="Calibri"/>
                <w:b w:val="0"/>
                <w:color w:val="000000"/>
                <w:sz w:val="16"/>
              </w:rPr>
              <w:t>19-22</w:t>
            </w:r>
          </w:p>
        </w:tc>
        <w:tc>
          <w:tcPr>
            <w:tcW w:type="dxa" w:w="4800"/>
            <w:shd w:fill="FAFBFC"/>
            <w:vAlign w:val="center"/>
            <w:tcMar>
              <w:top w:w="80" w:type="dxa"/>
              <w:start w:w="120" w:type="dxa"/>
              <w:bottom w:w="80" w:type="dxa"/>
              <w:end w:w="120" w:type="dxa"/>
            </w:tcMar>
          </w:tcPr>
          <w:p>
            <w:pPr>
              <w:spacing w:after="0"/>
            </w:pPr>
            <w:r>
              <w:rPr>
                <w:rFonts w:ascii="Calibri" w:hAnsi="Calibri"/>
                <w:b w:val="0"/>
                <w:color w:val="000000"/>
                <w:sz w:val="16"/>
              </w:rPr>
              <w:t>Teach multi-year trend, four-interval CAGR, and dual-axis risk.</w:t>
            </w:r>
          </w:p>
        </w:tc>
        <w:tc>
          <w:tcPr>
            <w:tcW w:type="dxa" w:w="2560"/>
            <w:shd w:fill="FAFBFC"/>
            <w:vAlign w:val="center"/>
            <w:tcMar>
              <w:top w:w="80" w:type="dxa"/>
              <w:start w:w="120" w:type="dxa"/>
              <w:bottom w:w="80" w:type="dxa"/>
              <w:end w:w="120" w:type="dxa"/>
            </w:tcMar>
          </w:tcPr>
          <w:p>
            <w:pPr>
              <w:spacing w:after="0"/>
            </w:pPr>
            <w:r>
              <w:rPr>
                <w:rFonts w:ascii="Calibri" w:hAnsi="Calibri"/>
                <w:b w:val="0"/>
                <w:color w:val="000000"/>
                <w:sz w:val="16"/>
              </w:rPr>
              <w:t>Growth-gap hypothesis.</w:t>
            </w:r>
          </w:p>
        </w:tc>
      </w:tr>
      <w:tr>
        <w:tc>
          <w:tcPr>
            <w:tcW w:type="dxa" w:w="1100"/>
            <w:vAlign w:val="center"/>
            <w:tcMar>
              <w:top w:w="80" w:type="dxa"/>
              <w:start w:w="120" w:type="dxa"/>
              <w:bottom w:w="80" w:type="dxa"/>
              <w:end w:w="120" w:type="dxa"/>
            </w:tcMar>
          </w:tcPr>
          <w:p>
            <w:pPr>
              <w:spacing w:after="0"/>
            </w:pPr>
            <w:r>
              <w:rPr>
                <w:rFonts w:ascii="Calibri" w:hAnsi="Calibri"/>
                <w:b w:val="0"/>
                <w:color w:val="000000"/>
                <w:sz w:val="16"/>
              </w:rPr>
              <w:t>110-135</w:t>
            </w:r>
          </w:p>
        </w:tc>
        <w:tc>
          <w:tcPr>
            <w:tcW w:type="dxa" w:w="900"/>
            <w:vAlign w:val="center"/>
            <w:tcMar>
              <w:top w:w="80" w:type="dxa"/>
              <w:start w:w="120" w:type="dxa"/>
              <w:bottom w:w="80" w:type="dxa"/>
              <w:end w:w="120" w:type="dxa"/>
            </w:tcMar>
          </w:tcPr>
          <w:p>
            <w:pPr>
              <w:spacing w:after="0"/>
            </w:pPr>
            <w:r>
              <w:rPr>
                <w:rFonts w:ascii="Calibri" w:hAnsi="Calibri"/>
                <w:b w:val="0"/>
                <w:color w:val="000000"/>
                <w:sz w:val="16"/>
              </w:rPr>
              <w:t>23-26</w:t>
            </w:r>
          </w:p>
        </w:tc>
        <w:tc>
          <w:tcPr>
            <w:tcW w:type="dxa" w:w="4800"/>
            <w:vAlign w:val="center"/>
            <w:tcMar>
              <w:top w:w="80" w:type="dxa"/>
              <w:start w:w="120" w:type="dxa"/>
              <w:bottom w:w="80" w:type="dxa"/>
              <w:end w:w="120" w:type="dxa"/>
            </w:tcMar>
          </w:tcPr>
          <w:p>
            <w:pPr>
              <w:spacing w:after="0"/>
            </w:pPr>
            <w:r>
              <w:rPr>
                <w:rFonts w:ascii="Calibri" w:hAnsi="Calibri"/>
                <w:b w:val="0"/>
                <w:color w:val="000000"/>
                <w:sz w:val="16"/>
              </w:rPr>
              <w:t>Teach DuPont, average balances, and leverage risk.</w:t>
            </w:r>
          </w:p>
        </w:tc>
        <w:tc>
          <w:tcPr>
            <w:tcW w:type="dxa" w:w="2560"/>
            <w:vAlign w:val="center"/>
            <w:tcMar>
              <w:top w:w="80" w:type="dxa"/>
              <w:start w:w="120" w:type="dxa"/>
              <w:bottom w:w="80" w:type="dxa"/>
              <w:end w:w="120" w:type="dxa"/>
            </w:tcMar>
          </w:tcPr>
          <w:p>
            <w:pPr>
              <w:spacing w:after="0"/>
            </w:pPr>
            <w:r>
              <w:rPr>
                <w:rFonts w:ascii="Calibri" w:hAnsi="Calibri"/>
                <w:b w:val="0"/>
                <w:color w:val="000000"/>
                <w:sz w:val="16"/>
              </w:rPr>
              <w:t>Factor interpretation and direct-ROE check.</w:t>
            </w:r>
          </w:p>
        </w:tc>
      </w:tr>
      <w:tr>
        <w:tc>
          <w:tcPr>
            <w:tcW w:type="dxa" w:w="1100"/>
            <w:shd w:fill="FAFBFC"/>
            <w:vAlign w:val="center"/>
            <w:tcMar>
              <w:top w:w="80" w:type="dxa"/>
              <w:start w:w="120" w:type="dxa"/>
              <w:bottom w:w="80" w:type="dxa"/>
              <w:end w:w="120" w:type="dxa"/>
            </w:tcMar>
          </w:tcPr>
          <w:p>
            <w:pPr>
              <w:spacing w:after="0"/>
            </w:pPr>
            <w:r>
              <w:rPr>
                <w:rFonts w:ascii="Calibri" w:hAnsi="Calibri"/>
                <w:b w:val="0"/>
                <w:color w:val="000000"/>
                <w:sz w:val="16"/>
              </w:rPr>
              <w:t>135-155</w:t>
            </w:r>
          </w:p>
        </w:tc>
        <w:tc>
          <w:tcPr>
            <w:tcW w:type="dxa" w:w="900"/>
            <w:shd w:fill="FAFBFC"/>
            <w:vAlign w:val="center"/>
            <w:tcMar>
              <w:top w:w="80" w:type="dxa"/>
              <w:start w:w="120" w:type="dxa"/>
              <w:bottom w:w="80" w:type="dxa"/>
              <w:end w:w="120" w:type="dxa"/>
            </w:tcMar>
          </w:tcPr>
          <w:p>
            <w:pPr>
              <w:spacing w:after="0"/>
            </w:pPr>
            <w:r>
              <w:rPr>
                <w:rFonts w:ascii="Calibri" w:hAnsi="Calibri"/>
                <w:b w:val="0"/>
                <w:color w:val="000000"/>
                <w:sz w:val="16"/>
              </w:rPr>
              <w:t>27-30</w:t>
            </w:r>
          </w:p>
        </w:tc>
        <w:tc>
          <w:tcPr>
            <w:tcW w:type="dxa" w:w="4800"/>
            <w:shd w:fill="FAFBFC"/>
            <w:vAlign w:val="center"/>
            <w:tcMar>
              <w:top w:w="80" w:type="dxa"/>
              <w:start w:w="120" w:type="dxa"/>
              <w:bottom w:w="80" w:type="dxa"/>
              <w:end w:w="120" w:type="dxa"/>
            </w:tcMar>
          </w:tcPr>
          <w:p>
            <w:pPr>
              <w:spacing w:after="0"/>
            </w:pPr>
            <w:r>
              <w:rPr>
                <w:rFonts w:ascii="Calibri" w:hAnsi="Calibri"/>
                <w:b w:val="0"/>
                <w:color w:val="000000"/>
                <w:sz w:val="16"/>
              </w:rPr>
              <w:t>Frame AI as junior analyst; unpack prompt structure and REM documentation.</w:t>
            </w:r>
          </w:p>
        </w:tc>
        <w:tc>
          <w:tcPr>
            <w:tcW w:type="dxa" w:w="2560"/>
            <w:shd w:fill="FAFBFC"/>
            <w:vAlign w:val="center"/>
            <w:tcMar>
              <w:top w:w="80" w:type="dxa"/>
              <w:start w:w="120" w:type="dxa"/>
              <w:bottom w:w="80" w:type="dxa"/>
              <w:end w:w="120" w:type="dxa"/>
            </w:tcMar>
          </w:tcPr>
          <w:p>
            <w:pPr>
              <w:spacing w:after="0"/>
            </w:pPr>
            <w:r>
              <w:rPr>
                <w:rFonts w:ascii="Calibri" w:hAnsi="Calibri"/>
                <w:b w:val="0"/>
                <w:color w:val="000000"/>
                <w:sz w:val="16"/>
              </w:rPr>
              <w:t>Team prompt revision.</w:t>
            </w:r>
          </w:p>
        </w:tc>
      </w:tr>
      <w:tr>
        <w:tc>
          <w:tcPr>
            <w:tcW w:type="dxa" w:w="1100"/>
            <w:vAlign w:val="center"/>
            <w:tcMar>
              <w:top w:w="80" w:type="dxa"/>
              <w:start w:w="120" w:type="dxa"/>
              <w:bottom w:w="80" w:type="dxa"/>
              <w:end w:w="120" w:type="dxa"/>
            </w:tcMar>
          </w:tcPr>
          <w:p>
            <w:pPr>
              <w:spacing w:after="0"/>
            </w:pPr>
            <w:r>
              <w:rPr>
                <w:rFonts w:ascii="Calibri" w:hAnsi="Calibri"/>
                <w:b w:val="0"/>
                <w:color w:val="000000"/>
                <w:sz w:val="16"/>
              </w:rPr>
              <w:t>155-180</w:t>
            </w:r>
          </w:p>
        </w:tc>
        <w:tc>
          <w:tcPr>
            <w:tcW w:type="dxa" w:w="900"/>
            <w:vAlign w:val="center"/>
            <w:tcMar>
              <w:top w:w="80" w:type="dxa"/>
              <w:start w:w="120" w:type="dxa"/>
              <w:bottom w:w="80" w:type="dxa"/>
              <w:end w:w="120" w:type="dxa"/>
            </w:tcMar>
          </w:tcPr>
          <w:p>
            <w:pPr>
              <w:spacing w:after="0"/>
            </w:pPr>
            <w:r>
              <w:rPr>
                <w:rFonts w:ascii="Calibri" w:hAnsi="Calibri"/>
                <w:b w:val="0"/>
                <w:color w:val="000000"/>
                <w:sz w:val="16"/>
              </w:rPr>
              <w:t>31-34</w:t>
            </w:r>
          </w:p>
        </w:tc>
        <w:tc>
          <w:tcPr>
            <w:tcW w:type="dxa" w:w="4800"/>
            <w:vAlign w:val="center"/>
            <w:tcMar>
              <w:top w:w="80" w:type="dxa"/>
              <w:start w:w="120" w:type="dxa"/>
              <w:bottom w:w="80" w:type="dxa"/>
              <w:end w:w="120" w:type="dxa"/>
            </w:tcMar>
          </w:tcPr>
          <w:p>
            <w:pPr>
              <w:spacing w:after="0"/>
            </w:pPr>
            <w:r>
              <w:rPr>
                <w:rFonts w:ascii="Calibri" w:hAnsi="Calibri"/>
                <w:b w:val="0"/>
                <w:color w:val="000000"/>
                <w:sz w:val="16"/>
              </w:rPr>
              <w:t>Walk through input, model, sign, and sanity-check code architecture.</w:t>
            </w:r>
          </w:p>
        </w:tc>
        <w:tc>
          <w:tcPr>
            <w:tcW w:type="dxa" w:w="2560"/>
            <w:vAlign w:val="center"/>
            <w:tcMar>
              <w:top w:w="80" w:type="dxa"/>
              <w:start w:w="120" w:type="dxa"/>
              <w:bottom w:w="80" w:type="dxa"/>
              <w:end w:w="120" w:type="dxa"/>
            </w:tcMar>
          </w:tcPr>
          <w:p>
            <w:pPr>
              <w:spacing w:after="0"/>
            </w:pPr>
            <w:r>
              <w:rPr>
                <w:rFonts w:ascii="Calibri" w:hAnsi="Calibri"/>
                <w:b w:val="0"/>
                <w:color w:val="000000"/>
                <w:sz w:val="16"/>
              </w:rPr>
              <w:t>Annotated code trace.</w:t>
            </w:r>
          </w:p>
        </w:tc>
      </w:tr>
      <w:tr>
        <w:tc>
          <w:tcPr>
            <w:tcW w:type="dxa" w:w="1100"/>
            <w:shd w:fill="FAFBFC"/>
            <w:vAlign w:val="center"/>
            <w:tcMar>
              <w:top w:w="80" w:type="dxa"/>
              <w:start w:w="120" w:type="dxa"/>
              <w:bottom w:w="80" w:type="dxa"/>
              <w:end w:w="120" w:type="dxa"/>
            </w:tcMar>
          </w:tcPr>
          <w:p>
            <w:pPr>
              <w:spacing w:after="0"/>
            </w:pPr>
            <w:r>
              <w:rPr>
                <w:rFonts w:ascii="Calibri" w:hAnsi="Calibri"/>
                <w:b w:val="0"/>
                <w:color w:val="000000"/>
                <w:sz w:val="16"/>
              </w:rPr>
              <w:t>180-205</w:t>
            </w:r>
          </w:p>
        </w:tc>
        <w:tc>
          <w:tcPr>
            <w:tcW w:type="dxa" w:w="900"/>
            <w:shd w:fill="FAFBFC"/>
            <w:vAlign w:val="center"/>
            <w:tcMar>
              <w:top w:w="80" w:type="dxa"/>
              <w:start w:w="120" w:type="dxa"/>
              <w:bottom w:w="80" w:type="dxa"/>
              <w:end w:w="120" w:type="dxa"/>
            </w:tcMar>
          </w:tcPr>
          <w:p>
            <w:pPr>
              <w:spacing w:after="0"/>
            </w:pPr>
            <w:r>
              <w:rPr>
                <w:rFonts w:ascii="Calibri" w:hAnsi="Calibri"/>
                <w:b w:val="0"/>
                <w:color w:val="000000"/>
                <w:sz w:val="16"/>
              </w:rPr>
              <w:t>35-37</w:t>
            </w:r>
          </w:p>
        </w:tc>
        <w:tc>
          <w:tcPr>
            <w:tcW w:type="dxa" w:w="4800"/>
            <w:shd w:fill="FAFBFC"/>
            <w:vAlign w:val="center"/>
            <w:tcMar>
              <w:top w:w="80" w:type="dxa"/>
              <w:start w:w="120" w:type="dxa"/>
              <w:bottom w:w="80" w:type="dxa"/>
              <w:end w:w="120" w:type="dxa"/>
            </w:tcMar>
          </w:tcPr>
          <w:p>
            <w:pPr>
              <w:spacing w:after="0"/>
            </w:pPr>
            <w:r>
              <w:rPr>
                <w:rFonts w:ascii="Calibri" w:hAnsi="Calibri"/>
                <w:b w:val="0"/>
                <w:color w:val="000000"/>
                <w:sz w:val="16"/>
              </w:rPr>
              <w:t>Run the four-layer verification lab and document a human correction.</w:t>
            </w:r>
          </w:p>
        </w:tc>
        <w:tc>
          <w:tcPr>
            <w:tcW w:type="dxa" w:w="2560"/>
            <w:shd w:fill="FAFBFC"/>
            <w:vAlign w:val="center"/>
            <w:tcMar>
              <w:top w:w="80" w:type="dxa"/>
              <w:start w:w="120" w:type="dxa"/>
              <w:bottom w:w="80" w:type="dxa"/>
              <w:end w:w="120" w:type="dxa"/>
            </w:tcMar>
          </w:tcPr>
          <w:p>
            <w:pPr>
              <w:spacing w:after="0"/>
            </w:pPr>
            <w:r>
              <w:rPr>
                <w:rFonts w:ascii="Calibri" w:hAnsi="Calibri"/>
                <w:b w:val="0"/>
                <w:color w:val="000000"/>
                <w:sz w:val="16"/>
              </w:rPr>
              <w:t>Verification log and correction statement.</w:t>
            </w:r>
          </w:p>
        </w:tc>
      </w:tr>
      <w:tr>
        <w:tc>
          <w:tcPr>
            <w:tcW w:type="dxa" w:w="1100"/>
            <w:vAlign w:val="center"/>
            <w:tcMar>
              <w:top w:w="80" w:type="dxa"/>
              <w:start w:w="120" w:type="dxa"/>
              <w:bottom w:w="80" w:type="dxa"/>
              <w:end w:w="120" w:type="dxa"/>
            </w:tcMar>
          </w:tcPr>
          <w:p>
            <w:pPr>
              <w:spacing w:after="0"/>
            </w:pPr>
            <w:r>
              <w:rPr>
                <w:rFonts w:ascii="Calibri" w:hAnsi="Calibri"/>
                <w:b w:val="0"/>
                <w:color w:val="000000"/>
                <w:sz w:val="16"/>
              </w:rPr>
              <w:t>205-235</w:t>
            </w:r>
          </w:p>
        </w:tc>
        <w:tc>
          <w:tcPr>
            <w:tcW w:type="dxa" w:w="900"/>
            <w:vAlign w:val="center"/>
            <w:tcMar>
              <w:top w:w="80" w:type="dxa"/>
              <w:start w:w="120" w:type="dxa"/>
              <w:bottom w:w="80" w:type="dxa"/>
              <w:end w:w="120" w:type="dxa"/>
            </w:tcMar>
          </w:tcPr>
          <w:p>
            <w:pPr>
              <w:spacing w:after="0"/>
            </w:pPr>
            <w:r>
              <w:rPr>
                <w:rFonts w:ascii="Calibri" w:hAnsi="Calibri"/>
                <w:b w:val="0"/>
                <w:color w:val="000000"/>
                <w:sz w:val="16"/>
              </w:rPr>
              <w:t>38-41</w:t>
            </w:r>
          </w:p>
        </w:tc>
        <w:tc>
          <w:tcPr>
            <w:tcW w:type="dxa" w:w="4800"/>
            <w:vAlign w:val="center"/>
            <w:tcMar>
              <w:top w:w="80" w:type="dxa"/>
              <w:start w:w="120" w:type="dxa"/>
              <w:bottom w:w="80" w:type="dxa"/>
              <w:end w:w="120" w:type="dxa"/>
            </w:tcMar>
          </w:tcPr>
          <w:p>
            <w:pPr>
              <w:spacing w:after="0"/>
            </w:pPr>
            <w:r>
              <w:rPr>
                <w:rFonts w:ascii="Calibri" w:hAnsi="Calibri"/>
                <w:b w:val="0"/>
                <w:color w:val="000000"/>
                <w:sz w:val="16"/>
              </w:rPr>
              <w:t>Team presentations and peer critique using the accuracy-first rubric.</w:t>
            </w:r>
          </w:p>
        </w:tc>
        <w:tc>
          <w:tcPr>
            <w:tcW w:type="dxa" w:w="2560"/>
            <w:vAlign w:val="center"/>
            <w:tcMar>
              <w:top w:w="80" w:type="dxa"/>
              <w:start w:w="120" w:type="dxa"/>
              <w:bottom w:w="80" w:type="dxa"/>
              <w:end w:w="120" w:type="dxa"/>
            </w:tcMar>
          </w:tcPr>
          <w:p>
            <w:pPr>
              <w:spacing w:after="0"/>
            </w:pPr>
            <w:r>
              <w:rPr>
                <w:rFonts w:ascii="Calibri" w:hAnsi="Calibri"/>
                <w:b w:val="0"/>
                <w:color w:val="000000"/>
                <w:sz w:val="16"/>
              </w:rPr>
              <w:t>Five-minute story and one peer question.</w:t>
            </w:r>
          </w:p>
        </w:tc>
      </w:tr>
      <w:tr>
        <w:tc>
          <w:tcPr>
            <w:tcW w:type="dxa" w:w="1100"/>
            <w:shd w:fill="FAFBFC"/>
            <w:vAlign w:val="center"/>
            <w:tcMar>
              <w:top w:w="80" w:type="dxa"/>
              <w:start w:w="120" w:type="dxa"/>
              <w:bottom w:w="80" w:type="dxa"/>
              <w:end w:w="120" w:type="dxa"/>
            </w:tcMar>
          </w:tcPr>
          <w:p>
            <w:pPr>
              <w:spacing w:after="0"/>
            </w:pPr>
            <w:r>
              <w:rPr>
                <w:rFonts w:ascii="Calibri" w:hAnsi="Calibri"/>
                <w:b w:val="0"/>
                <w:color w:val="000000"/>
                <w:sz w:val="16"/>
              </w:rPr>
              <w:t>235-240</w:t>
            </w:r>
          </w:p>
        </w:tc>
        <w:tc>
          <w:tcPr>
            <w:tcW w:type="dxa" w:w="900"/>
            <w:shd w:fill="FAFBFC"/>
            <w:vAlign w:val="center"/>
            <w:tcMar>
              <w:top w:w="80" w:type="dxa"/>
              <w:start w:w="120" w:type="dxa"/>
              <w:bottom w:w="80" w:type="dxa"/>
              <w:end w:w="120" w:type="dxa"/>
            </w:tcMar>
          </w:tcPr>
          <w:p>
            <w:pPr>
              <w:spacing w:after="0"/>
            </w:pPr>
            <w:r>
              <w:rPr>
                <w:rFonts w:ascii="Calibri" w:hAnsi="Calibri"/>
                <w:b w:val="0"/>
                <w:color w:val="000000"/>
                <w:sz w:val="16"/>
              </w:rPr>
              <w:t>42-43</w:t>
            </w:r>
          </w:p>
        </w:tc>
        <w:tc>
          <w:tcPr>
            <w:tcW w:type="dxa" w:w="4800"/>
            <w:shd w:fill="FAFBFC"/>
            <w:vAlign w:val="center"/>
            <w:tcMar>
              <w:top w:w="80" w:type="dxa"/>
              <w:start w:w="120" w:type="dxa"/>
              <w:bottom w:w="80" w:type="dxa"/>
              <w:end w:w="120" w:type="dxa"/>
            </w:tcMar>
          </w:tcPr>
          <w:p>
            <w:pPr>
              <w:spacing w:after="0"/>
            </w:pPr>
            <w:r>
              <w:rPr>
                <w:rFonts w:ascii="Calibri" w:hAnsi="Calibri"/>
                <w:b w:val="0"/>
                <w:color w:val="000000"/>
                <w:sz w:val="16"/>
              </w:rPr>
              <w:t>Launch next steps and collect exit tickets.</w:t>
            </w:r>
          </w:p>
        </w:tc>
        <w:tc>
          <w:tcPr>
            <w:tcW w:type="dxa" w:w="2560"/>
            <w:shd w:fill="FAFBFC"/>
            <w:vAlign w:val="center"/>
            <w:tcMar>
              <w:top w:w="80" w:type="dxa"/>
              <w:start w:w="120" w:type="dxa"/>
              <w:bottom w:w="80" w:type="dxa"/>
              <w:end w:w="120" w:type="dxa"/>
            </w:tcMar>
          </w:tcPr>
          <w:p>
            <w:pPr>
              <w:spacing w:after="0"/>
            </w:pPr>
            <w:r>
              <w:rPr>
                <w:rFonts w:ascii="Calibri" w:hAnsi="Calibri"/>
                <w:b w:val="0"/>
                <w:color w:val="000000"/>
                <w:sz w:val="16"/>
              </w:rPr>
              <w:t>One formula, one check, one risk.</w:t>
            </w:r>
          </w:p>
        </w:tc>
      </w:tr>
    </w:tbl>
    <w:p>
      <w:pPr>
        <w:spacing w:after="0"/>
      </w:pPr>
    </w:p>
    <w:p>
      <w:pPr>
        <w:pStyle w:val="Heading1"/>
      </w:pPr>
      <w:r>
        <w:t>4. Compression Paths for 2 or 3 Hours</w:t>
      </w:r>
    </w:p>
    <w:p>
      <w:pPr>
        <w:pStyle w:val="Heading2"/>
      </w:pPr>
      <w:r>
        <w:t>120-minute core class</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1200"/>
        <w:gridCol w:w="3650"/>
        <w:gridCol w:w="4510"/>
      </w:tblGrid>
      <w:tr>
        <w:trPr>
          <w:tblHeader w:val="true"/>
        </w:trPr>
        <w:tc>
          <w:tcPr>
            <w:tcW w:type="dxa" w:w="1200"/>
            <w:vAlign w:val="center"/>
            <w:tcMar>
              <w:top w:w="80" w:type="dxa"/>
              <w:start w:w="120" w:type="dxa"/>
              <w:bottom w:w="80" w:type="dxa"/>
              <w:end w:w="120" w:type="dxa"/>
            </w:tcMar>
            <w:shd w:fill="E8EEF5"/>
          </w:tcPr>
          <w:p>
            <w:pPr>
              <w:spacing w:after="0"/>
            </w:pPr>
            <w:r>
              <w:rPr>
                <w:rFonts w:ascii="Calibri" w:hAnsi="Calibri"/>
                <w:b/>
                <w:color w:val="0B2545"/>
                <w:sz w:val="17"/>
              </w:rPr>
              <w:t>Minutes</w:t>
            </w:r>
          </w:p>
        </w:tc>
        <w:tc>
          <w:tcPr>
            <w:tcW w:type="dxa" w:w="3650"/>
            <w:vAlign w:val="center"/>
            <w:tcMar>
              <w:top w:w="80" w:type="dxa"/>
              <w:start w:w="120" w:type="dxa"/>
              <w:bottom w:w="80" w:type="dxa"/>
              <w:end w:w="120" w:type="dxa"/>
            </w:tcMar>
            <w:shd w:fill="E8EEF5"/>
          </w:tcPr>
          <w:p>
            <w:pPr>
              <w:spacing w:after="0"/>
            </w:pPr>
            <w:r>
              <w:rPr>
                <w:rFonts w:ascii="Calibri" w:hAnsi="Calibri"/>
                <w:b/>
                <w:color w:val="0B2545"/>
                <w:sz w:val="17"/>
              </w:rPr>
              <w:t>Focus</w:t>
            </w:r>
          </w:p>
        </w:tc>
        <w:tc>
          <w:tcPr>
            <w:tcW w:type="dxa" w:w="4510"/>
            <w:vAlign w:val="center"/>
            <w:tcMar>
              <w:top w:w="80" w:type="dxa"/>
              <w:start w:w="120" w:type="dxa"/>
              <w:bottom w:w="80" w:type="dxa"/>
              <w:end w:w="120" w:type="dxa"/>
            </w:tcMar>
            <w:shd w:fill="E8EEF5"/>
          </w:tcPr>
          <w:p>
            <w:pPr>
              <w:spacing w:after="0"/>
            </w:pPr>
            <w:r>
              <w:rPr>
                <w:rFonts w:ascii="Calibri" w:hAnsi="Calibri"/>
                <w:b/>
                <w:color w:val="0B2545"/>
                <w:sz w:val="17"/>
              </w:rPr>
              <w:t>Slides and cuts</w:t>
            </w:r>
          </w:p>
        </w:tc>
      </w:tr>
      <w:tr>
        <w:tc>
          <w:tcPr>
            <w:tcW w:type="dxa" w:w="1200"/>
            <w:vAlign w:val="center"/>
            <w:tcMar>
              <w:top w:w="80" w:type="dxa"/>
              <w:start w:w="120" w:type="dxa"/>
              <w:bottom w:w="80" w:type="dxa"/>
              <w:end w:w="120" w:type="dxa"/>
            </w:tcMar>
          </w:tcPr>
          <w:p>
            <w:pPr>
              <w:spacing w:after="0"/>
            </w:pPr>
            <w:r>
              <w:rPr>
                <w:rFonts w:ascii="Calibri" w:hAnsi="Calibri"/>
                <w:b w:val="0"/>
                <w:color w:val="000000"/>
                <w:sz w:val="17"/>
              </w:rPr>
              <w:t>0-15</w:t>
            </w:r>
          </w:p>
        </w:tc>
        <w:tc>
          <w:tcPr>
            <w:tcW w:type="dxa" w:w="3650"/>
            <w:vAlign w:val="center"/>
            <w:tcMar>
              <w:top w:w="80" w:type="dxa"/>
              <w:start w:w="120" w:type="dxa"/>
              <w:bottom w:w="80" w:type="dxa"/>
              <w:end w:w="120" w:type="dxa"/>
            </w:tcMar>
          </w:tcPr>
          <w:p>
            <w:pPr>
              <w:spacing w:after="0"/>
            </w:pPr>
            <w:r>
              <w:rPr>
                <w:rFonts w:ascii="Calibri" w:hAnsi="Calibri"/>
                <w:b w:val="0"/>
                <w:color w:val="000000"/>
                <w:sz w:val="17"/>
              </w:rPr>
              <w:t>Case, outcomes, assignment, and source</w:t>
            </w:r>
          </w:p>
        </w:tc>
        <w:tc>
          <w:tcPr>
            <w:tcW w:type="dxa" w:w="4510"/>
            <w:vAlign w:val="center"/>
            <w:tcMar>
              <w:top w:w="80" w:type="dxa"/>
              <w:start w:w="120" w:type="dxa"/>
              <w:bottom w:w="80" w:type="dxa"/>
              <w:end w:w="120" w:type="dxa"/>
            </w:tcMar>
          </w:tcPr>
          <w:p>
            <w:pPr>
              <w:spacing w:after="0"/>
            </w:pPr>
            <w:r>
              <w:rPr>
                <w:rFonts w:ascii="Calibri" w:hAnsi="Calibri"/>
                <w:b w:val="0"/>
                <w:color w:val="000000"/>
                <w:sz w:val="17"/>
              </w:rPr>
              <w:t>1-8; shorten role discussion.</w:t>
            </w:r>
          </w:p>
        </w:tc>
      </w:tr>
      <w:tr>
        <w:tc>
          <w:tcPr>
            <w:tcW w:type="dxa" w:w="1200"/>
            <w:shd w:fill="FAFBFC"/>
            <w:vAlign w:val="center"/>
            <w:tcMar>
              <w:top w:w="80" w:type="dxa"/>
              <w:start w:w="120" w:type="dxa"/>
              <w:bottom w:w="80" w:type="dxa"/>
              <w:end w:w="120" w:type="dxa"/>
            </w:tcMar>
          </w:tcPr>
          <w:p>
            <w:pPr>
              <w:spacing w:after="0"/>
            </w:pPr>
            <w:r>
              <w:rPr>
                <w:rFonts w:ascii="Calibri" w:hAnsi="Calibri"/>
                <w:b w:val="0"/>
                <w:color w:val="000000"/>
                <w:sz w:val="17"/>
              </w:rPr>
              <w:t>15-35</w:t>
            </w:r>
          </w:p>
        </w:tc>
        <w:tc>
          <w:tcPr>
            <w:tcW w:type="dxa" w:w="3650"/>
            <w:shd w:fill="FAFBFC"/>
            <w:vAlign w:val="center"/>
            <w:tcMar>
              <w:top w:w="80" w:type="dxa"/>
              <w:start w:w="120" w:type="dxa"/>
              <w:bottom w:w="80" w:type="dxa"/>
              <w:end w:w="120" w:type="dxa"/>
            </w:tcMar>
          </w:tcPr>
          <w:p>
            <w:pPr>
              <w:spacing w:after="0"/>
            </w:pPr>
            <w:r>
              <w:rPr>
                <w:rFonts w:ascii="Calibri" w:hAnsi="Calibri"/>
                <w:b w:val="0"/>
                <w:color w:val="000000"/>
                <w:sz w:val="17"/>
              </w:rPr>
              <w:t>Sankey concept and audit</w:t>
            </w:r>
          </w:p>
        </w:tc>
        <w:tc>
          <w:tcPr>
            <w:tcW w:type="dxa" w:w="4510"/>
            <w:shd w:fill="FAFBFC"/>
            <w:vAlign w:val="center"/>
            <w:tcMar>
              <w:top w:w="80" w:type="dxa"/>
              <w:start w:w="120" w:type="dxa"/>
              <w:bottom w:w="80" w:type="dxa"/>
              <w:end w:w="120" w:type="dxa"/>
            </w:tcMar>
          </w:tcPr>
          <w:p>
            <w:pPr>
              <w:spacing w:after="0"/>
            </w:pPr>
            <w:r>
              <w:rPr>
                <w:rFonts w:ascii="Calibri" w:hAnsi="Calibri"/>
                <w:b w:val="0"/>
                <w:color w:val="000000"/>
                <w:sz w:val="17"/>
              </w:rPr>
              <w:t>9-12; complete one node live.</w:t>
            </w:r>
          </w:p>
        </w:tc>
      </w:tr>
      <w:tr>
        <w:tc>
          <w:tcPr>
            <w:tcW w:type="dxa" w:w="1200"/>
            <w:vAlign w:val="center"/>
            <w:tcMar>
              <w:top w:w="80" w:type="dxa"/>
              <w:start w:w="120" w:type="dxa"/>
              <w:bottom w:w="80" w:type="dxa"/>
              <w:end w:w="120" w:type="dxa"/>
            </w:tcMar>
          </w:tcPr>
          <w:p>
            <w:pPr>
              <w:spacing w:after="0"/>
            </w:pPr>
            <w:r>
              <w:rPr>
                <w:rFonts w:ascii="Calibri" w:hAnsi="Calibri"/>
                <w:b w:val="0"/>
                <w:color w:val="000000"/>
                <w:sz w:val="17"/>
              </w:rPr>
              <w:t>35-60</w:t>
            </w:r>
          </w:p>
        </w:tc>
        <w:tc>
          <w:tcPr>
            <w:tcW w:type="dxa" w:w="3650"/>
            <w:vAlign w:val="center"/>
            <w:tcMar>
              <w:top w:w="80" w:type="dxa"/>
              <w:start w:w="120" w:type="dxa"/>
              <w:bottom w:w="80" w:type="dxa"/>
              <w:end w:w="120" w:type="dxa"/>
            </w:tcMar>
          </w:tcPr>
          <w:p>
            <w:pPr>
              <w:spacing w:after="0"/>
            </w:pPr>
            <w:r>
              <w:rPr>
                <w:rFonts w:ascii="Calibri" w:hAnsi="Calibri"/>
                <w:b w:val="0"/>
                <w:color w:val="000000"/>
                <w:sz w:val="17"/>
              </w:rPr>
              <w:t>FCF bridge and sign error</w:t>
            </w:r>
          </w:p>
        </w:tc>
        <w:tc>
          <w:tcPr>
            <w:tcW w:type="dxa" w:w="4510"/>
            <w:vAlign w:val="center"/>
            <w:tcMar>
              <w:top w:w="80" w:type="dxa"/>
              <w:start w:w="120" w:type="dxa"/>
              <w:bottom w:w="80" w:type="dxa"/>
              <w:end w:w="120" w:type="dxa"/>
            </w:tcMar>
          </w:tcPr>
          <w:p>
            <w:pPr>
              <w:spacing w:after="0"/>
            </w:pPr>
            <w:r>
              <w:rPr>
                <w:rFonts w:ascii="Calibri" w:hAnsi="Calibri"/>
                <w:b w:val="0"/>
                <w:color w:val="000000"/>
                <w:sz w:val="17"/>
              </w:rPr>
              <w:t>13-18; emphasize three FCF definitions.</w:t>
            </w:r>
          </w:p>
        </w:tc>
      </w:tr>
      <w:tr>
        <w:tc>
          <w:tcPr>
            <w:tcW w:type="dxa" w:w="1200"/>
            <w:shd w:fill="FAFBFC"/>
            <w:vAlign w:val="center"/>
            <w:tcMar>
              <w:top w:w="80" w:type="dxa"/>
              <w:start w:w="120" w:type="dxa"/>
              <w:bottom w:w="80" w:type="dxa"/>
              <w:end w:w="120" w:type="dxa"/>
            </w:tcMar>
          </w:tcPr>
          <w:p>
            <w:pPr>
              <w:spacing w:after="0"/>
            </w:pPr>
            <w:r>
              <w:rPr>
                <w:rFonts w:ascii="Calibri" w:hAnsi="Calibri"/>
                <w:b w:val="0"/>
                <w:color w:val="000000"/>
                <w:sz w:val="17"/>
              </w:rPr>
              <w:t>60-65</w:t>
            </w:r>
          </w:p>
        </w:tc>
        <w:tc>
          <w:tcPr>
            <w:tcW w:type="dxa" w:w="3650"/>
            <w:shd w:fill="FAFBFC"/>
            <w:vAlign w:val="center"/>
            <w:tcMar>
              <w:top w:w="80" w:type="dxa"/>
              <w:start w:w="120" w:type="dxa"/>
              <w:bottom w:w="80" w:type="dxa"/>
              <w:end w:w="120" w:type="dxa"/>
            </w:tcMar>
          </w:tcPr>
          <w:p>
            <w:pPr>
              <w:spacing w:after="0"/>
            </w:pPr>
            <w:r>
              <w:rPr>
                <w:rFonts w:ascii="Calibri" w:hAnsi="Calibri"/>
                <w:b w:val="0"/>
                <w:color w:val="000000"/>
                <w:sz w:val="17"/>
              </w:rPr>
              <w:t>Micro-break</w:t>
            </w:r>
          </w:p>
        </w:tc>
        <w:tc>
          <w:tcPr>
            <w:tcW w:type="dxa" w:w="4510"/>
            <w:shd w:fill="FAFBFC"/>
            <w:vAlign w:val="center"/>
            <w:tcMar>
              <w:top w:w="80" w:type="dxa"/>
              <w:start w:w="120" w:type="dxa"/>
              <w:bottom w:w="80" w:type="dxa"/>
              <w:end w:w="120" w:type="dxa"/>
            </w:tcMar>
          </w:tcPr>
          <w:p>
            <w:pPr>
              <w:spacing w:after="0"/>
            </w:pPr>
            <w:r>
              <w:rPr>
                <w:rFonts w:ascii="Calibri" w:hAnsi="Calibri"/>
                <w:b w:val="0"/>
                <w:color w:val="000000"/>
                <w:sz w:val="17"/>
              </w:rPr>
              <w:t>Pause.</w:t>
            </w:r>
          </w:p>
        </w:tc>
      </w:tr>
      <w:tr>
        <w:tc>
          <w:tcPr>
            <w:tcW w:type="dxa" w:w="1200"/>
            <w:vAlign w:val="center"/>
            <w:tcMar>
              <w:top w:w="80" w:type="dxa"/>
              <w:start w:w="120" w:type="dxa"/>
              <w:bottom w:w="80" w:type="dxa"/>
              <w:end w:w="120" w:type="dxa"/>
            </w:tcMar>
          </w:tcPr>
          <w:p>
            <w:pPr>
              <w:spacing w:after="0"/>
            </w:pPr>
            <w:r>
              <w:rPr>
                <w:rFonts w:ascii="Calibri" w:hAnsi="Calibri"/>
                <w:b w:val="0"/>
                <w:color w:val="000000"/>
                <w:sz w:val="17"/>
              </w:rPr>
              <w:t>65-80</w:t>
            </w:r>
          </w:p>
        </w:tc>
        <w:tc>
          <w:tcPr>
            <w:tcW w:type="dxa" w:w="3650"/>
            <w:vAlign w:val="center"/>
            <w:tcMar>
              <w:top w:w="80" w:type="dxa"/>
              <w:start w:w="120" w:type="dxa"/>
              <w:bottom w:w="80" w:type="dxa"/>
              <w:end w:w="120" w:type="dxa"/>
            </w:tcMar>
          </w:tcPr>
          <w:p>
            <w:pPr>
              <w:spacing w:after="0"/>
            </w:pPr>
            <w:r>
              <w:rPr>
                <w:rFonts w:ascii="Calibri" w:hAnsi="Calibri"/>
                <w:b w:val="0"/>
                <w:color w:val="000000"/>
                <w:sz w:val="17"/>
              </w:rPr>
              <w:t>Five-year trend</w:t>
            </w:r>
          </w:p>
        </w:tc>
        <w:tc>
          <w:tcPr>
            <w:tcW w:type="dxa" w:w="4510"/>
            <w:vAlign w:val="center"/>
            <w:tcMar>
              <w:top w:w="80" w:type="dxa"/>
              <w:start w:w="120" w:type="dxa"/>
              <w:bottom w:w="80" w:type="dxa"/>
              <w:end w:w="120" w:type="dxa"/>
            </w:tcMar>
          </w:tcPr>
          <w:p>
            <w:pPr>
              <w:spacing w:after="0"/>
            </w:pPr>
            <w:r>
              <w:rPr>
                <w:rFonts w:ascii="Calibri" w:hAnsi="Calibri"/>
                <w:b w:val="0"/>
                <w:color w:val="000000"/>
                <w:sz w:val="17"/>
              </w:rPr>
              <w:t>19-22; one-minute pair discussion.</w:t>
            </w:r>
          </w:p>
        </w:tc>
      </w:tr>
      <w:tr>
        <w:tc>
          <w:tcPr>
            <w:tcW w:type="dxa" w:w="1200"/>
            <w:shd w:fill="FAFBFC"/>
            <w:vAlign w:val="center"/>
            <w:tcMar>
              <w:top w:w="80" w:type="dxa"/>
              <w:start w:w="120" w:type="dxa"/>
              <w:bottom w:w="80" w:type="dxa"/>
              <w:end w:w="120" w:type="dxa"/>
            </w:tcMar>
          </w:tcPr>
          <w:p>
            <w:pPr>
              <w:spacing w:after="0"/>
            </w:pPr>
            <w:r>
              <w:rPr>
                <w:rFonts w:ascii="Calibri" w:hAnsi="Calibri"/>
                <w:b w:val="0"/>
                <w:color w:val="000000"/>
                <w:sz w:val="17"/>
              </w:rPr>
              <w:t>80-95</w:t>
            </w:r>
          </w:p>
        </w:tc>
        <w:tc>
          <w:tcPr>
            <w:tcW w:type="dxa" w:w="3650"/>
            <w:shd w:fill="FAFBFC"/>
            <w:vAlign w:val="center"/>
            <w:tcMar>
              <w:top w:w="80" w:type="dxa"/>
              <w:start w:w="120" w:type="dxa"/>
              <w:bottom w:w="80" w:type="dxa"/>
              <w:end w:w="120" w:type="dxa"/>
            </w:tcMar>
          </w:tcPr>
          <w:p>
            <w:pPr>
              <w:spacing w:after="0"/>
            </w:pPr>
            <w:r>
              <w:rPr>
                <w:rFonts w:ascii="Calibri" w:hAnsi="Calibri"/>
                <w:b w:val="0"/>
                <w:color w:val="000000"/>
                <w:sz w:val="17"/>
              </w:rPr>
              <w:t>DuPont</w:t>
            </w:r>
          </w:p>
        </w:tc>
        <w:tc>
          <w:tcPr>
            <w:tcW w:type="dxa" w:w="4510"/>
            <w:shd w:fill="FAFBFC"/>
            <w:vAlign w:val="center"/>
            <w:tcMar>
              <w:top w:w="80" w:type="dxa"/>
              <w:start w:w="120" w:type="dxa"/>
              <w:bottom w:w="80" w:type="dxa"/>
              <w:end w:w="120" w:type="dxa"/>
            </w:tcMar>
          </w:tcPr>
          <w:p>
            <w:pPr>
              <w:spacing w:after="0"/>
            </w:pPr>
            <w:r>
              <w:rPr>
                <w:rFonts w:ascii="Calibri" w:hAnsi="Calibri"/>
                <w:b w:val="0"/>
                <w:color w:val="000000"/>
                <w:sz w:val="17"/>
              </w:rPr>
              <w:t>23-26; focus on averages and leverage.</w:t>
            </w:r>
          </w:p>
        </w:tc>
      </w:tr>
      <w:tr>
        <w:tc>
          <w:tcPr>
            <w:tcW w:type="dxa" w:w="1200"/>
            <w:vAlign w:val="center"/>
            <w:tcMar>
              <w:top w:w="80" w:type="dxa"/>
              <w:start w:w="120" w:type="dxa"/>
              <w:bottom w:w="80" w:type="dxa"/>
              <w:end w:w="120" w:type="dxa"/>
            </w:tcMar>
          </w:tcPr>
          <w:p>
            <w:pPr>
              <w:spacing w:after="0"/>
            </w:pPr>
            <w:r>
              <w:rPr>
                <w:rFonts w:ascii="Calibri" w:hAnsi="Calibri"/>
                <w:b w:val="0"/>
                <w:color w:val="000000"/>
                <w:sz w:val="17"/>
              </w:rPr>
              <w:t>95-115</w:t>
            </w:r>
          </w:p>
        </w:tc>
        <w:tc>
          <w:tcPr>
            <w:tcW w:type="dxa" w:w="3650"/>
            <w:vAlign w:val="center"/>
            <w:tcMar>
              <w:top w:w="80" w:type="dxa"/>
              <w:start w:w="120" w:type="dxa"/>
              <w:bottom w:w="80" w:type="dxa"/>
              <w:end w:w="120" w:type="dxa"/>
            </w:tcMar>
          </w:tcPr>
          <w:p>
            <w:pPr>
              <w:spacing w:after="0"/>
            </w:pPr>
            <w:r>
              <w:rPr>
                <w:rFonts w:ascii="Calibri" w:hAnsi="Calibri"/>
                <w:b w:val="0"/>
                <w:color w:val="000000"/>
                <w:sz w:val="17"/>
              </w:rPr>
              <w:t>AI prompt, REM, code, and checks</w:t>
            </w:r>
          </w:p>
        </w:tc>
        <w:tc>
          <w:tcPr>
            <w:tcW w:type="dxa" w:w="4510"/>
            <w:vAlign w:val="center"/>
            <w:tcMar>
              <w:top w:w="80" w:type="dxa"/>
              <w:start w:w="120" w:type="dxa"/>
              <w:bottom w:w="80" w:type="dxa"/>
              <w:end w:w="120" w:type="dxa"/>
            </w:tcMar>
          </w:tcPr>
          <w:p>
            <w:pPr>
              <w:spacing w:after="0"/>
            </w:pPr>
            <w:r>
              <w:rPr>
                <w:rFonts w:ascii="Calibri" w:hAnsi="Calibri"/>
                <w:b w:val="0"/>
                <w:color w:val="000000"/>
                <w:sz w:val="17"/>
              </w:rPr>
              <w:t>27-36; demo rather than team lab.</w:t>
            </w:r>
          </w:p>
        </w:tc>
      </w:tr>
      <w:tr>
        <w:tc>
          <w:tcPr>
            <w:tcW w:type="dxa" w:w="1200"/>
            <w:shd w:fill="FAFBFC"/>
            <w:vAlign w:val="center"/>
            <w:tcMar>
              <w:top w:w="80" w:type="dxa"/>
              <w:start w:w="120" w:type="dxa"/>
              <w:bottom w:w="80" w:type="dxa"/>
              <w:end w:w="120" w:type="dxa"/>
            </w:tcMar>
          </w:tcPr>
          <w:p>
            <w:pPr>
              <w:spacing w:after="0"/>
            </w:pPr>
            <w:r>
              <w:rPr>
                <w:rFonts w:ascii="Calibri" w:hAnsi="Calibri"/>
                <w:b w:val="0"/>
                <w:color w:val="000000"/>
                <w:sz w:val="17"/>
              </w:rPr>
              <w:t>115-120</w:t>
            </w:r>
          </w:p>
        </w:tc>
        <w:tc>
          <w:tcPr>
            <w:tcW w:type="dxa" w:w="3650"/>
            <w:shd w:fill="FAFBFC"/>
            <w:vAlign w:val="center"/>
            <w:tcMar>
              <w:top w:w="80" w:type="dxa"/>
              <w:start w:w="120" w:type="dxa"/>
              <w:bottom w:w="80" w:type="dxa"/>
              <w:end w:w="120" w:type="dxa"/>
            </w:tcMar>
          </w:tcPr>
          <w:p>
            <w:pPr>
              <w:spacing w:after="0"/>
            </w:pPr>
            <w:r>
              <w:rPr>
                <w:rFonts w:ascii="Calibri" w:hAnsi="Calibri"/>
                <w:b w:val="0"/>
                <w:color w:val="000000"/>
                <w:sz w:val="17"/>
              </w:rPr>
              <w:t>Exit ticket</w:t>
            </w:r>
          </w:p>
        </w:tc>
        <w:tc>
          <w:tcPr>
            <w:tcW w:type="dxa" w:w="4510"/>
            <w:shd w:fill="FAFBFC"/>
            <w:vAlign w:val="center"/>
            <w:tcMar>
              <w:top w:w="80" w:type="dxa"/>
              <w:start w:w="120" w:type="dxa"/>
              <w:bottom w:w="80" w:type="dxa"/>
              <w:end w:w="120" w:type="dxa"/>
            </w:tcMar>
          </w:tcPr>
          <w:p>
            <w:pPr>
              <w:spacing w:after="0"/>
            </w:pPr>
            <w:r>
              <w:rPr>
                <w:rFonts w:ascii="Calibri" w:hAnsi="Calibri"/>
                <w:b w:val="0"/>
                <w:color w:val="000000"/>
                <w:sz w:val="17"/>
              </w:rPr>
              <w:t>43; assign 37-42 as outside work.</w:t>
            </w:r>
          </w:p>
        </w:tc>
      </w:tr>
    </w:tbl>
    <w:p>
      <w:pPr>
        <w:spacing w:after="0"/>
      </w:pPr>
    </w:p>
    <w:p>
      <w:pPr>
        <w:pStyle w:val="Heading2"/>
      </w:pPr>
      <w:r>
        <w:t>180-minute lab class</w:t>
      </w:r>
    </w:p>
    <w:p>
      <w:pPr>
        <w:pStyle w:val="ListBullet"/>
      </w:pPr>
      <w:r>
        <w:t>Use the first 135 minutes of the master plan through DuPont.</w:t>
      </w:r>
    </w:p>
    <w:p>
      <w:pPr>
        <w:pStyle w:val="ListBullet"/>
      </w:pPr>
      <w:r>
        <w:t>Use 35 minutes for AI prompt, REM, and annotated code (slides 27-34).</w:t>
      </w:r>
    </w:p>
    <w:p>
      <w:pPr>
        <w:pStyle w:val="ListBullet"/>
      </w:pPr>
      <w:r>
        <w:t>Use the final 10 minutes for verification setup and an exit ticket; presentations occur next class or by recorded submission.</w:t>
      </w:r>
    </w:p>
    <w:p>
      <w:pPr>
        <w:pStyle w:val="ListBullet"/>
      </w:pPr>
      <w:r>
        <w:t>If students already know Chapters 3-4 well, reduce the concepts segment to 105 minutes and reserve 55 minutes for hands-on coding and verification.</w:t>
      </w:r>
    </w:p>
    <w:p>
      <w:pPr>
        <w:pStyle w:val="Heading1"/>
      </w:pPr>
      <w:r>
        <w:t>5. Facilitation Guide by Module</w:t>
      </w:r>
    </w:p>
    <w:p>
      <w:pPr>
        <w:pStyle w:val="Heading2"/>
      </w:pPr>
      <w:r>
        <w:t>Opening and source orientation - Slides 1-8</w:t>
      </w:r>
    </w:p>
    <w:p>
      <w:pPr>
        <w:pStyle w:val="ListBullet"/>
      </w:pPr>
      <w:r>
        <w:t>Ask: 'Can EPS grow faster than sales without strong revenue growth?' Record two competing explanations before revealing numbers.</w:t>
      </w:r>
    </w:p>
    <w:p>
      <w:pPr>
        <w:pStyle w:val="ListBullet"/>
      </w:pPr>
      <w:r>
        <w:t>Show the dashboard only long enough to create questions. Do not explain each visual yet.</w:t>
      </w:r>
    </w:p>
    <w:p>
      <w:pPr>
        <w:pStyle w:val="ListBullet"/>
      </w:pPr>
      <w:r>
        <w:t>Open the annual report's Consolidated Statements of Earnings and have students locate net sales, operating income, net earnings, and diluted EPS.</w:t>
      </w:r>
    </w:p>
    <w:p>
      <w:pPr>
        <w:pStyle w:val="ListBullet"/>
      </w:pPr>
      <w:r>
        <w:t>Emphasize that public markets depend on credible information; the 10-K is evidence, not decoration.</w:t>
      </w:r>
    </w:p>
    <w:p>
      <w:pPr>
        <w:pStyle w:val="ListBullet"/>
      </w:pPr>
      <w:r>
        <w:t>Assign roles and state that roles divide labor but not accountability.</w:t>
      </w:r>
    </w:p>
    <w:tbl>
      <w:tblPr>
        <w:tblW w:type="dxa" w:w="9360"/>
        <w:jc w:val="left"/>
        <w:tblLayout w:type="fixed"/>
        <w:tblLook w:firstColumn="1" w:firstRow="1" w:lastColumn="0" w:lastRow="0" w:noHBand="0" w:noVBand="1" w:val="04A0"/>
        <w:tblInd w:w="120" w:type="dxa"/>
        <w:tblBorders>
          <w:top w:val="single" w:sz="1" w:space="0" w:color="F3F8FC"/>
          <w:left w:val="single" w:sz="1" w:space="0" w:color="F3F8FC"/>
          <w:bottom w:val="single" w:sz="1" w:space="0" w:color="F3F8FC"/>
          <w:right w:val="single" w:sz="1" w:space="0" w:color="F3F8FC"/>
          <w:insideH w:val="single" w:sz="1" w:space="0" w:color="F3F8FC"/>
          <w:insideV w:val="single" w:sz="1" w:space="0" w:color="F3F8FC"/>
        </w:tblBorders>
      </w:tblPr>
      <w:tblGrid>
        <w:gridCol w:w="9360"/>
      </w:tblGrid>
      <w:tr>
        <w:tc>
          <w:tcPr>
            <w:tcW w:type="dxa" w:w="9360"/>
            <w:vAlign w:val="center"/>
            <w:tcMar>
              <w:top w:w="80" w:type="dxa"/>
              <w:start w:w="120" w:type="dxa"/>
              <w:bottom w:w="80" w:type="dxa"/>
              <w:end w:w="120" w:type="dxa"/>
            </w:tcMar>
            <w:shd w:fill="F3F8FC"/>
          </w:tcPr>
          <w:p>
            <w:pPr>
              <w:spacing w:after="0"/>
            </w:pPr>
            <w:r>
              <w:rPr>
                <w:rFonts w:ascii="Calibri" w:hAnsi="Calibri"/>
                <w:b/>
                <w:color w:val="2E74B5"/>
                <w:sz w:val="21"/>
              </w:rPr>
              <w:t xml:space="preserve">Check for understanding: </w:t>
            </w:r>
            <w:r>
              <w:rPr>
                <w:rFonts w:ascii="Calibri" w:hAnsi="Calibri"/>
                <w:color w:val="000000"/>
                <w:sz w:val="21"/>
              </w:rPr>
              <w:t>Ask one student to trace $84,284M from the 10-K to Metric_ID NET_SALES in 01_Input and then to a chart label.</w:t>
            </w:r>
          </w:p>
        </w:tc>
      </w:tr>
    </w:tbl>
    <w:p>
      <w:pPr>
        <w:spacing w:after="0"/>
      </w:pPr>
    </w:p>
    <w:p>
      <w:pPr>
        <w:pStyle w:val="Heading2"/>
      </w:pPr>
      <w:r>
        <w:t>Income statement Sankey - Slides 9-12</w:t>
      </w:r>
    </w:p>
    <w:p>
      <w:pPr>
        <w:pStyle w:val="ListBullet"/>
      </w:pPr>
      <w:r>
        <w:t>Build the statement in four identities before showing the finished Sankey.</w:t>
      </w:r>
    </w:p>
    <w:p>
      <w:pPr>
        <w:pStyle w:val="ListBullet"/>
      </w:pPr>
      <w:r>
        <w:t>Ask students to calculate each major item as a percentage of net sales. Translate the result into cents per sales dollar.</w:t>
      </w:r>
    </w:p>
    <w:p>
      <w:pPr>
        <w:pStyle w:val="ListBullet"/>
      </w:pPr>
      <w:r>
        <w:t>Point out that a Sankey is constrained by conservation: every source node must balance.</w:t>
      </w:r>
    </w:p>
    <w:p>
      <w:pPr>
        <w:pStyle w:val="ListBullet"/>
      </w:pPr>
      <w:r>
        <w:t>Use the interest-expense classification error to test whether students understand EBIT rather than merely reading labels.</w:t>
      </w:r>
    </w:p>
    <w:p>
      <w:pPr>
        <w:pStyle w:val="ListBullet"/>
      </w:pPr>
      <w:r>
        <w:t>Ask why consolidated net earnings and earnings attributable to P&amp;G differ by $91M and why numerator/denominator consistency matters.</w:t>
      </w:r>
    </w:p>
    <w:tbl>
      <w:tblPr>
        <w:tblW w:type="dxa" w:w="9360"/>
        <w:jc w:val="left"/>
        <w:tblLayout w:type="fixed"/>
        <w:tblLook w:firstColumn="1" w:firstRow="1" w:lastColumn="0" w:lastRow="0" w:noHBand="0" w:noVBand="1" w:val="04A0"/>
        <w:tblInd w:w="120" w:type="dxa"/>
        <w:tblBorders>
          <w:top w:val="single" w:sz="1" w:space="0" w:color="F3F8FC"/>
          <w:left w:val="single" w:sz="1" w:space="0" w:color="F3F8FC"/>
          <w:bottom w:val="single" w:sz="1" w:space="0" w:color="F3F8FC"/>
          <w:right w:val="single" w:sz="1" w:space="0" w:color="F3F8FC"/>
          <w:insideH w:val="single" w:sz="1" w:space="0" w:color="F3F8FC"/>
          <w:insideV w:val="single" w:sz="1" w:space="0" w:color="F3F8FC"/>
        </w:tblBorders>
      </w:tblPr>
      <w:tblGrid>
        <w:gridCol w:w="9360"/>
      </w:tblGrid>
      <w:tr>
        <w:tc>
          <w:tcPr>
            <w:tcW w:type="dxa" w:w="9360"/>
            <w:vAlign w:val="center"/>
            <w:tcMar>
              <w:top w:w="80" w:type="dxa"/>
              <w:start w:w="120" w:type="dxa"/>
              <w:bottom w:w="80" w:type="dxa"/>
              <w:end w:w="120" w:type="dxa"/>
            </w:tcMar>
            <w:shd w:fill="F3F8FC"/>
          </w:tcPr>
          <w:p>
            <w:pPr>
              <w:spacing w:after="0"/>
            </w:pPr>
            <w:r>
              <w:rPr>
                <w:rFonts w:ascii="Calibri" w:hAnsi="Calibri"/>
                <w:b/>
                <w:color w:val="2E74B5"/>
                <w:sz w:val="21"/>
              </w:rPr>
              <w:t xml:space="preserve">Expected insight: </w:t>
            </w:r>
            <w:r>
              <w:rPr>
                <w:rFonts w:ascii="Calibri" w:hAnsi="Calibri"/>
                <w:color w:val="000000"/>
                <w:sz w:val="21"/>
              </w:rPr>
              <w:t>Product cost absorbs 48.8% of sales, SG&amp;A 26.9%, EBIT is 24.3%, and consolidated net earnings are 19.1% of sales.</w:t>
            </w:r>
          </w:p>
        </w:tc>
      </w:tr>
    </w:tbl>
    <w:p>
      <w:pPr>
        <w:spacing w:after="0"/>
      </w:pPr>
    </w:p>
    <w:p>
      <w:pPr>
        <w:pStyle w:val="Heading2"/>
      </w:pPr>
      <w:r>
        <w:t>Free cash flow waterfall - Slides 13-18</w:t>
      </w:r>
    </w:p>
    <w:p>
      <w:pPr>
        <w:pStyle w:val="ListBullet"/>
      </w:pPr>
      <w:r>
        <w:t>Begin with the conceptual contrast: income statement profit includes accrual accounting; FCF asks what cash remains after operating investment.</w:t>
      </w:r>
    </w:p>
    <w:p>
      <w:pPr>
        <w:pStyle w:val="ListBullet"/>
      </w:pPr>
      <w:r>
        <w:t>Build NOPAT, operating NOWC, change in NOWC, and textbook FCF sequentially.</w:t>
      </w:r>
    </w:p>
    <w:p>
      <w:pPr>
        <w:pStyle w:val="ListBullet"/>
      </w:pPr>
      <w:r>
        <w:t>Then introduce cash FCF from the cash flow statement and treat the $822.23M residual as a bridge to explain.</w:t>
      </w:r>
    </w:p>
    <w:p>
      <w:pPr>
        <w:pStyle w:val="ListBullet"/>
      </w:pPr>
      <w:r>
        <w:t>Finally reveal the $562M Tax Act payment add-back and require the non-GAAP label.</w:t>
      </w:r>
    </w:p>
    <w:p>
      <w:pPr>
        <w:pStyle w:val="ListBullet"/>
      </w:pPr>
      <w:r>
        <w:t>Demonstrate the double-negative CapEx bug and ask students to predict the direction of error before calculating it.</w:t>
      </w:r>
    </w:p>
    <w:tbl>
      <w:tblPr>
        <w:tblW w:type="dxa" w:w="9360"/>
        <w:jc w:val="left"/>
        <w:tblLayout w:type="fixed"/>
        <w:tblLook w:firstColumn="1" w:firstRow="1" w:lastColumn="0" w:lastRow="0" w:noHBand="0" w:noVBand="1" w:val="04A0"/>
        <w:tblInd w:w="120" w:type="dxa"/>
        <w:tblBorders>
          <w:top w:val="single" w:sz="1" w:space="0" w:color="F3F8FC"/>
          <w:left w:val="single" w:sz="1" w:space="0" w:color="F3F8FC"/>
          <w:bottom w:val="single" w:sz="1" w:space="0" w:color="F3F8FC"/>
          <w:right w:val="single" w:sz="1" w:space="0" w:color="F3F8FC"/>
          <w:insideH w:val="single" w:sz="1" w:space="0" w:color="F3F8FC"/>
          <w:insideV w:val="single" w:sz="1" w:space="0" w:color="F3F8FC"/>
        </w:tblBorders>
      </w:tblPr>
      <w:tblGrid>
        <w:gridCol w:w="9360"/>
      </w:tblGrid>
      <w:tr>
        <w:tc>
          <w:tcPr>
            <w:tcW w:type="dxa" w:w="9360"/>
            <w:vAlign w:val="center"/>
            <w:tcMar>
              <w:top w:w="80" w:type="dxa"/>
              <w:start w:w="120" w:type="dxa"/>
              <w:bottom w:w="80" w:type="dxa"/>
              <w:end w:w="120" w:type="dxa"/>
            </w:tcMar>
            <w:shd w:fill="F3F8FC"/>
          </w:tcPr>
          <w:p>
            <w:pPr>
              <w:spacing w:after="0"/>
            </w:pPr>
            <w:r>
              <w:rPr>
                <w:rFonts w:ascii="Calibri" w:hAnsi="Calibri"/>
                <w:b/>
                <w:color w:val="2E74B5"/>
                <w:sz w:val="21"/>
              </w:rPr>
              <w:t xml:space="preserve">Expected insight: </w:t>
            </w:r>
            <w:r>
              <w:rPr>
                <w:rFonts w:ascii="Calibri" w:hAnsi="Calibri"/>
                <w:color w:val="000000"/>
                <w:sz w:val="21"/>
              </w:rPr>
              <w:t>Textbook FCF is $14.866B, cash FCF is $14.044B, and P&amp;G adjusted FCF is $14.606B. Similar totals do not make the definitions interchangeable.</w:t>
            </w:r>
          </w:p>
        </w:tc>
      </w:tr>
    </w:tbl>
    <w:p>
      <w:pPr>
        <w:spacing w:after="0"/>
      </w:pPr>
    </w:p>
    <w:p>
      <w:pPr>
        <w:pStyle w:val="Heading2"/>
      </w:pPr>
      <w:r>
        <w:t>Five-year trend - Slides 19-22</w:t>
      </w:r>
    </w:p>
    <w:p>
      <w:pPr>
        <w:pStyle w:val="ListBullet"/>
      </w:pPr>
      <w:r>
        <w:t>Have students count the spaces between FY2021 and FY2025: there are four compounding intervals.</w:t>
      </w:r>
    </w:p>
    <w:p>
      <w:pPr>
        <w:pStyle w:val="ListBullet"/>
      </w:pPr>
      <w:r>
        <w:t>Discuss why a dual-axis chart can exaggerate or minimize co-movement through arbitrary axis bounds.</w:t>
      </w:r>
    </w:p>
    <w:p>
      <w:pPr>
        <w:pStyle w:val="ListBullet"/>
      </w:pPr>
      <w:r>
        <w:t>Ask teams to generate at least three possible explanations for EPS growing faster than sales, then classify each as supported, plausible, or untested.</w:t>
      </w:r>
    </w:p>
    <w:p>
      <w:pPr>
        <w:pStyle w:val="ListBullet"/>
      </w:pPr>
      <w:r>
        <w:t>Keep GAAP diluted EPS distinct from core or adjusted EPS.</w:t>
      </w:r>
    </w:p>
    <w:tbl>
      <w:tblPr>
        <w:tblW w:type="dxa" w:w="9360"/>
        <w:jc w:val="left"/>
        <w:tblLayout w:type="fixed"/>
        <w:tblLook w:firstColumn="1" w:firstRow="1" w:lastColumn="0" w:lastRow="0" w:noHBand="0" w:noVBand="1" w:val="04A0"/>
        <w:tblInd w:w="120" w:type="dxa"/>
        <w:tblBorders>
          <w:top w:val="single" w:sz="1" w:space="0" w:color="F3F8FC"/>
          <w:left w:val="single" w:sz="1" w:space="0" w:color="F3F8FC"/>
          <w:bottom w:val="single" w:sz="1" w:space="0" w:color="F3F8FC"/>
          <w:right w:val="single" w:sz="1" w:space="0" w:color="F3F8FC"/>
          <w:insideH w:val="single" w:sz="1" w:space="0" w:color="F3F8FC"/>
          <w:insideV w:val="single" w:sz="1" w:space="0" w:color="F3F8FC"/>
        </w:tblBorders>
      </w:tblPr>
      <w:tblGrid>
        <w:gridCol w:w="9360"/>
      </w:tblGrid>
      <w:tr>
        <w:tc>
          <w:tcPr>
            <w:tcW w:type="dxa" w:w="9360"/>
            <w:vAlign w:val="center"/>
            <w:tcMar>
              <w:top w:w="80" w:type="dxa"/>
              <w:start w:w="120" w:type="dxa"/>
              <w:bottom w:w="80" w:type="dxa"/>
              <w:end w:w="120" w:type="dxa"/>
            </w:tcMar>
            <w:shd w:fill="F3F8FC"/>
          </w:tcPr>
          <w:p>
            <w:pPr>
              <w:spacing w:after="0"/>
            </w:pPr>
            <w:r>
              <w:rPr>
                <w:rFonts w:ascii="Calibri" w:hAnsi="Calibri"/>
                <w:b/>
                <w:color w:val="2E74B5"/>
                <w:sz w:val="21"/>
              </w:rPr>
              <w:t xml:space="preserve">Expected insight: </w:t>
            </w:r>
            <w:r>
              <w:rPr>
                <w:rFonts w:ascii="Calibri" w:hAnsi="Calibri"/>
                <w:color w:val="000000"/>
                <w:sz w:val="21"/>
              </w:rPr>
              <w:t>Sales CAGR is 2.58%; diluted EPS CAGR is 4.30%. The chart supports a growth gap, not a single proven cause.</w:t>
            </w:r>
          </w:p>
        </w:tc>
      </w:tr>
    </w:tbl>
    <w:p>
      <w:pPr>
        <w:spacing w:after="0"/>
      </w:pPr>
    </w:p>
    <w:p>
      <w:pPr>
        <w:pStyle w:val="Heading2"/>
      </w:pPr>
      <w:r>
        <w:t>DuPont ROE - Slides 23-26</w:t>
      </w:r>
    </w:p>
    <w:p>
      <w:pPr>
        <w:pStyle w:val="ListBullet"/>
      </w:pPr>
      <w:r>
        <w:t>Write ROE as three factors before inserting any numbers.</w:t>
      </w:r>
    </w:p>
    <w:p>
      <w:pPr>
        <w:pStyle w:val="ListBullet"/>
      </w:pPr>
      <w:r>
        <w:t>Use average assets and equity because sales and earnings measure a full period while the balance sheet is a point-in-time snapshot.</w:t>
      </w:r>
    </w:p>
    <w:p>
      <w:pPr>
        <w:pStyle w:val="ListBullet"/>
      </w:pPr>
      <w:r>
        <w:t>Interpret the 19.06% margin, 0.681x turnover, and 2.408x equity multiplier separately.</w:t>
      </w:r>
    </w:p>
    <w:p>
      <w:pPr>
        <w:pStyle w:val="ListBullet"/>
      </w:pPr>
      <w:r>
        <w:t>Avoid declaring one factor 'the cause' of ROE without qualification; say margin supports ROE and leverage magnifies it while turnover is relatively modest.</w:t>
      </w:r>
    </w:p>
    <w:p>
      <w:pPr>
        <w:pStyle w:val="ListBullet"/>
      </w:pPr>
      <w:r>
        <w:t>Connect leverage to Chapter 7 creditor concerns and Chapter 8 risk-return tradeoffs.</w:t>
      </w:r>
    </w:p>
    <w:tbl>
      <w:tblPr>
        <w:tblW w:type="dxa" w:w="9360"/>
        <w:jc w:val="left"/>
        <w:tblLayout w:type="fixed"/>
        <w:tblLook w:firstColumn="1" w:firstRow="1" w:lastColumn="0" w:lastRow="0" w:noHBand="0" w:noVBand="1" w:val="04A0"/>
        <w:tblInd w:w="120" w:type="dxa"/>
        <w:tblBorders>
          <w:top w:val="single" w:sz="1" w:space="0" w:color="F3F8FC"/>
          <w:left w:val="single" w:sz="1" w:space="0" w:color="F3F8FC"/>
          <w:bottom w:val="single" w:sz="1" w:space="0" w:color="F3F8FC"/>
          <w:right w:val="single" w:sz="1" w:space="0" w:color="F3F8FC"/>
          <w:insideH w:val="single" w:sz="1" w:space="0" w:color="F3F8FC"/>
          <w:insideV w:val="single" w:sz="1" w:space="0" w:color="F3F8FC"/>
        </w:tblBorders>
      </w:tblPr>
      <w:tblGrid>
        <w:gridCol w:w="9360"/>
      </w:tblGrid>
      <w:tr>
        <w:tc>
          <w:tcPr>
            <w:tcW w:type="dxa" w:w="9360"/>
            <w:vAlign w:val="center"/>
            <w:tcMar>
              <w:top w:w="80" w:type="dxa"/>
              <w:start w:w="120" w:type="dxa"/>
              <w:bottom w:w="80" w:type="dxa"/>
              <w:end w:w="120" w:type="dxa"/>
            </w:tcMar>
            <w:shd w:fill="F3F8FC"/>
          </w:tcPr>
          <w:p>
            <w:pPr>
              <w:spacing w:after="0"/>
            </w:pPr>
            <w:r>
              <w:rPr>
                <w:rFonts w:ascii="Calibri" w:hAnsi="Calibri"/>
                <w:b/>
                <w:color w:val="2E74B5"/>
                <w:sz w:val="21"/>
              </w:rPr>
              <w:t xml:space="preserve">Expected insight: </w:t>
            </w:r>
            <w:r>
              <w:rPr>
                <w:rFonts w:ascii="Calibri" w:hAnsi="Calibri"/>
                <w:color w:val="000000"/>
                <w:sz w:val="21"/>
              </w:rPr>
              <w:t>0.1906 x 0.6808 x 2.4076 = 0.3124, matching direct ROE of 16,065 / 51,421.5 = 31.24%.</w:t>
            </w:r>
          </w:p>
        </w:tc>
      </w:tr>
    </w:tbl>
    <w:p>
      <w:pPr>
        <w:spacing w:after="0"/>
      </w:pPr>
    </w:p>
    <w:p>
      <w:pPr>
        <w:pStyle w:val="Heading2"/>
      </w:pPr>
      <w:r>
        <w:t>AI, code, and verification - Slides 27-37</w:t>
      </w:r>
    </w:p>
    <w:p>
      <w:pPr>
        <w:pStyle w:val="ListBullet"/>
      </w:pPr>
      <w:r>
        <w:t>Ask students what a junior analyst should be told before beginning: approved data, definitions, outputs, constraints, and failure behavior.</w:t>
      </w:r>
    </w:p>
    <w:p>
      <w:pPr>
        <w:pStyle w:val="ListBullet"/>
      </w:pPr>
      <w:r>
        <w:t>Reveal the model prompt and identify each control. Have teams add one missing or stronger control.</w:t>
      </w:r>
    </w:p>
    <w:p>
      <w:pPr>
        <w:pStyle w:val="ListBullet"/>
      </w:pPr>
      <w:r>
        <w:t>Clarify that REM comments are auditable documentation, not hidden chain-of-thought.</w:t>
      </w:r>
    </w:p>
    <w:p>
      <w:pPr>
        <w:pStyle w:val="ListBullet"/>
      </w:pPr>
      <w:r>
        <w:t>Walk the architecture in financial order: load -&gt; model -&gt; check -&gt; visualize -&gt; export.</w:t>
      </w:r>
    </w:p>
    <w:p>
      <w:pPr>
        <w:pStyle w:val="ListBullet"/>
      </w:pPr>
      <w:r>
        <w:t>At every code slide, ask two questions: What finance job does this block perform? How could it fail silently?</w:t>
      </w:r>
    </w:p>
    <w:p>
      <w:pPr>
        <w:pStyle w:val="ListBullet"/>
      </w:pPr>
      <w:r>
        <w:t>Use the four-layer verification model: source, formula, program, visual, plus interpretation as the narrative layer.</w:t>
      </w:r>
    </w:p>
    <w:p>
      <w:pPr>
        <w:pStyle w:val="ListBullet"/>
      </w:pPr>
      <w:r>
        <w:t>Require a meaningful correction such as removing a fixed row, correcting a sign, improving validation, clarifying a label, or preventing a misleading axis.</w:t>
      </w:r>
    </w:p>
    <w:p>
      <w:pPr>
        <w:pStyle w:val="Heading1"/>
      </w:pPr>
      <w:r>
        <w:t>6. Activity Instructions and Answer Keys</w:t>
      </w:r>
    </w:p>
    <w:p>
      <w:pPr>
        <w:pStyle w:val="Heading2"/>
      </w:pPr>
      <w:r>
        <w:t>Activity 1 - Sankey classification audit</w:t>
      </w:r>
    </w:p>
    <w:p>
      <w:r>
        <w:t>Prompt: A draft subtracts interest expense with SG&amp;A before calculating EBIT. Is the chart acceptable? Correct the sequence and state the effect on EBIT.</w:t>
      </w:r>
    </w:p>
    <w:tbl>
      <w:tblPr>
        <w:tblW w:type="dxa" w:w="9360"/>
        <w:jc w:val="left"/>
        <w:tblLayout w:type="fixed"/>
        <w:tblLook w:firstColumn="1" w:firstRow="1" w:lastColumn="0" w:lastRow="0" w:noHBand="0" w:noVBand="1" w:val="04A0"/>
        <w:tblInd w:w="120" w:type="dxa"/>
        <w:tblBorders>
          <w:top w:val="single" w:sz="1" w:space="0" w:color="E9F5EC"/>
          <w:left w:val="single" w:sz="1" w:space="0" w:color="E9F5EC"/>
          <w:bottom w:val="single" w:sz="1" w:space="0" w:color="E9F5EC"/>
          <w:right w:val="single" w:sz="1" w:space="0" w:color="E9F5EC"/>
          <w:insideH w:val="single" w:sz="1" w:space="0" w:color="E9F5EC"/>
          <w:insideV w:val="single" w:sz="1" w:space="0" w:color="E9F5EC"/>
        </w:tblBorders>
      </w:tblPr>
      <w:tblGrid>
        <w:gridCol w:w="9360"/>
      </w:tblGrid>
      <w:tr>
        <w:tc>
          <w:tcPr>
            <w:tcW w:type="dxa" w:w="9360"/>
            <w:vAlign w:val="center"/>
            <w:tcMar>
              <w:top w:w="80" w:type="dxa"/>
              <w:start w:w="120" w:type="dxa"/>
              <w:bottom w:w="80" w:type="dxa"/>
              <w:end w:w="120" w:type="dxa"/>
            </w:tcMar>
            <w:shd w:fill="E9F5EC"/>
          </w:tcPr>
          <w:p>
            <w:pPr>
              <w:spacing w:after="0"/>
            </w:pPr>
            <w:r>
              <w:rPr>
                <w:rFonts w:ascii="Calibri" w:hAnsi="Calibri"/>
                <w:b/>
                <w:color w:val="25633D"/>
                <w:sz w:val="21"/>
              </w:rPr>
              <w:t xml:space="preserve">Answer: </w:t>
            </w:r>
            <w:r>
              <w:rPr>
                <w:rFonts w:ascii="Calibri" w:hAnsi="Calibri"/>
                <w:color w:val="000000"/>
                <w:sz w:val="21"/>
              </w:rPr>
              <w:t>No. Interest expense is non-operating in this statement and belongs after EBIT. Moving it before EBIT understates operating income and destroys the meaning of the EBIT node.</w:t>
            </w:r>
          </w:p>
        </w:tc>
      </w:tr>
    </w:tbl>
    <w:p>
      <w:pPr>
        <w:spacing w:after="0"/>
      </w:pPr>
    </w:p>
    <w:p>
      <w:pPr>
        <w:pStyle w:val="Heading2"/>
      </w:pPr>
      <w:r>
        <w:t>Activity 2 - CapEx sign bug</w:t>
      </w:r>
    </w:p>
    <w:p>
      <w:r>
        <w:t>Prompt: The workbook stores CapEx as -3,773. AI writes FCF = NOPAT + D&amp;A - raw_capex - delta_nowc. Diagnose the error.</w:t>
      </w:r>
    </w:p>
    <w:tbl>
      <w:tblPr>
        <w:tblW w:type="dxa" w:w="9360"/>
        <w:jc w:val="left"/>
        <w:tblLayout w:type="fixed"/>
        <w:tblLook w:firstColumn="1" w:firstRow="1" w:lastColumn="0" w:lastRow="0" w:noHBand="0" w:noVBand="1" w:val="04A0"/>
        <w:tblInd w:w="120" w:type="dxa"/>
        <w:tblBorders>
          <w:top w:val="single" w:sz="1" w:space="0" w:color="E9F5EC"/>
          <w:left w:val="single" w:sz="1" w:space="0" w:color="E9F5EC"/>
          <w:bottom w:val="single" w:sz="1" w:space="0" w:color="E9F5EC"/>
          <w:right w:val="single" w:sz="1" w:space="0" w:color="E9F5EC"/>
          <w:insideH w:val="single" w:sz="1" w:space="0" w:color="E9F5EC"/>
          <w:insideV w:val="single" w:sz="1" w:space="0" w:color="E9F5EC"/>
        </w:tblBorders>
      </w:tblPr>
      <w:tblGrid>
        <w:gridCol w:w="9360"/>
      </w:tblGrid>
      <w:tr>
        <w:tc>
          <w:tcPr>
            <w:tcW w:type="dxa" w:w="9360"/>
            <w:vAlign w:val="center"/>
            <w:tcMar>
              <w:top w:w="80" w:type="dxa"/>
              <w:start w:w="120" w:type="dxa"/>
              <w:bottom w:w="80" w:type="dxa"/>
              <w:end w:w="120" w:type="dxa"/>
            </w:tcMar>
            <w:shd w:fill="E9F5EC"/>
          </w:tcPr>
          <w:p>
            <w:pPr>
              <w:spacing w:after="0"/>
            </w:pPr>
            <w:r>
              <w:rPr>
                <w:rFonts w:ascii="Calibri" w:hAnsi="Calibri"/>
                <w:b/>
                <w:color w:val="25633D"/>
                <w:sz w:val="21"/>
              </w:rPr>
              <w:t xml:space="preserve">Answer: </w:t>
            </w:r>
            <w:r>
              <w:rPr>
                <w:rFonts w:ascii="Calibri" w:hAnsi="Calibri"/>
                <w:color w:val="000000"/>
                <w:sz w:val="21"/>
              </w:rPr>
              <w:t>Subtracting raw_capex subtracts a negative and adds $3,773M. Convert to a positive magnitude once with abs(), then subtract it once. Alternatively preserve the negative sign and add raw_capex, but document the convention consistently.</w:t>
            </w:r>
          </w:p>
        </w:tc>
      </w:tr>
    </w:tbl>
    <w:p>
      <w:pPr>
        <w:spacing w:after="0"/>
      </w:pPr>
    </w:p>
    <w:p>
      <w:pPr>
        <w:pStyle w:val="Heading2"/>
      </w:pPr>
      <w:r>
        <w:t>Activity 3 - Growth-gap claims</w:t>
      </w:r>
    </w:p>
    <w:p>
      <w:r>
        <w:t>Prompt: EPS CAGR exceeds sales CAGR. Which explanations are facts, plausible hypotheses, or unsupported claims?</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3750"/>
        <w:gridCol w:w="1900"/>
        <w:gridCol w:w="3710"/>
      </w:tblGrid>
      <w:tr>
        <w:trPr>
          <w:tblHeader w:val="true"/>
        </w:trPr>
        <w:tc>
          <w:tcPr>
            <w:tcW w:type="dxa" w:w="3750"/>
            <w:vAlign w:val="center"/>
            <w:tcMar>
              <w:top w:w="80" w:type="dxa"/>
              <w:start w:w="120" w:type="dxa"/>
              <w:bottom w:w="80" w:type="dxa"/>
              <w:end w:w="120" w:type="dxa"/>
            </w:tcMar>
            <w:shd w:fill="E8EEF5"/>
          </w:tcPr>
          <w:p>
            <w:pPr>
              <w:spacing w:after="0"/>
            </w:pPr>
            <w:r>
              <w:rPr>
                <w:rFonts w:ascii="Calibri" w:hAnsi="Calibri"/>
                <w:b/>
                <w:color w:val="0B2545"/>
                <w:sz w:val="17"/>
              </w:rPr>
              <w:t>Statement</w:t>
            </w:r>
          </w:p>
        </w:tc>
        <w:tc>
          <w:tcPr>
            <w:tcW w:type="dxa" w:w="1900"/>
            <w:vAlign w:val="center"/>
            <w:tcMar>
              <w:top w:w="80" w:type="dxa"/>
              <w:start w:w="120" w:type="dxa"/>
              <w:bottom w:w="80" w:type="dxa"/>
              <w:end w:w="120" w:type="dxa"/>
            </w:tcMar>
            <w:shd w:fill="E8EEF5"/>
          </w:tcPr>
          <w:p>
            <w:pPr>
              <w:spacing w:after="0"/>
            </w:pPr>
            <w:r>
              <w:rPr>
                <w:rFonts w:ascii="Calibri" w:hAnsi="Calibri"/>
                <w:b/>
                <w:color w:val="0B2545"/>
                <w:sz w:val="17"/>
              </w:rPr>
              <w:t>Classification</w:t>
            </w:r>
          </w:p>
        </w:tc>
        <w:tc>
          <w:tcPr>
            <w:tcW w:type="dxa" w:w="3710"/>
            <w:vAlign w:val="center"/>
            <w:tcMar>
              <w:top w:w="80" w:type="dxa"/>
              <w:start w:w="120" w:type="dxa"/>
              <w:bottom w:w="80" w:type="dxa"/>
              <w:end w:w="120" w:type="dxa"/>
            </w:tcMar>
            <w:shd w:fill="E8EEF5"/>
          </w:tcPr>
          <w:p>
            <w:pPr>
              <w:spacing w:after="0"/>
            </w:pPr>
            <w:r>
              <w:rPr>
                <w:rFonts w:ascii="Calibri" w:hAnsi="Calibri"/>
                <w:b/>
                <w:color w:val="0B2545"/>
                <w:sz w:val="17"/>
              </w:rPr>
              <w:t>Teaching point</w:t>
            </w:r>
          </w:p>
        </w:tc>
      </w:tr>
      <w:tr>
        <w:tc>
          <w:tcPr>
            <w:tcW w:type="dxa" w:w="3750"/>
            <w:vAlign w:val="center"/>
            <w:tcMar>
              <w:top w:w="80" w:type="dxa"/>
              <w:start w:w="120" w:type="dxa"/>
              <w:bottom w:w="80" w:type="dxa"/>
              <w:end w:w="120" w:type="dxa"/>
            </w:tcMar>
          </w:tcPr>
          <w:p>
            <w:pPr>
              <w:spacing w:after="0"/>
            </w:pPr>
            <w:r>
              <w:rPr>
                <w:rFonts w:ascii="Calibri" w:hAnsi="Calibri"/>
                <w:b w:val="0"/>
                <w:color w:val="000000"/>
                <w:sz w:val="17"/>
              </w:rPr>
              <w:t>EPS CAGR was 4.30% and sales CAGR was 2.58%.</w:t>
            </w:r>
          </w:p>
        </w:tc>
        <w:tc>
          <w:tcPr>
            <w:tcW w:type="dxa" w:w="1900"/>
            <w:vAlign w:val="center"/>
            <w:tcMar>
              <w:top w:w="80" w:type="dxa"/>
              <w:start w:w="120" w:type="dxa"/>
              <w:bottom w:w="80" w:type="dxa"/>
              <w:end w:w="120" w:type="dxa"/>
            </w:tcMar>
          </w:tcPr>
          <w:p>
            <w:pPr>
              <w:spacing w:after="0"/>
            </w:pPr>
            <w:r>
              <w:rPr>
                <w:rFonts w:ascii="Calibri" w:hAnsi="Calibri"/>
                <w:b w:val="0"/>
                <w:color w:val="000000"/>
                <w:sz w:val="17"/>
              </w:rPr>
              <w:t>Fact</w:t>
            </w:r>
          </w:p>
        </w:tc>
        <w:tc>
          <w:tcPr>
            <w:tcW w:type="dxa" w:w="3710"/>
            <w:vAlign w:val="center"/>
            <w:tcMar>
              <w:top w:w="80" w:type="dxa"/>
              <w:start w:w="120" w:type="dxa"/>
              <w:bottom w:w="80" w:type="dxa"/>
              <w:end w:w="120" w:type="dxa"/>
            </w:tcMar>
          </w:tcPr>
          <w:p>
            <w:pPr>
              <w:spacing w:after="0"/>
            </w:pPr>
            <w:r>
              <w:rPr>
                <w:rFonts w:ascii="Calibri" w:hAnsi="Calibri"/>
                <w:b w:val="0"/>
                <w:color w:val="000000"/>
                <w:sz w:val="17"/>
              </w:rPr>
              <w:t>Directly calculated from consistent GAAP values.</w:t>
            </w:r>
          </w:p>
        </w:tc>
      </w:tr>
      <w:tr>
        <w:tc>
          <w:tcPr>
            <w:tcW w:type="dxa" w:w="3750"/>
            <w:shd w:fill="FAFBFC"/>
            <w:vAlign w:val="center"/>
            <w:tcMar>
              <w:top w:w="80" w:type="dxa"/>
              <w:start w:w="120" w:type="dxa"/>
              <w:bottom w:w="80" w:type="dxa"/>
              <w:end w:w="120" w:type="dxa"/>
            </w:tcMar>
          </w:tcPr>
          <w:p>
            <w:pPr>
              <w:spacing w:after="0"/>
            </w:pPr>
            <w:r>
              <w:rPr>
                <w:rFonts w:ascii="Calibri" w:hAnsi="Calibri"/>
                <w:b w:val="0"/>
                <w:color w:val="000000"/>
                <w:sz w:val="17"/>
              </w:rPr>
              <w:t>Margins, taxes, impairment charges, or share count may explain the gap.</w:t>
            </w:r>
          </w:p>
        </w:tc>
        <w:tc>
          <w:tcPr>
            <w:tcW w:type="dxa" w:w="1900"/>
            <w:shd w:fill="FAFBFC"/>
            <w:vAlign w:val="center"/>
            <w:tcMar>
              <w:top w:w="80" w:type="dxa"/>
              <w:start w:w="120" w:type="dxa"/>
              <w:bottom w:w="80" w:type="dxa"/>
              <w:end w:w="120" w:type="dxa"/>
            </w:tcMar>
          </w:tcPr>
          <w:p>
            <w:pPr>
              <w:spacing w:after="0"/>
            </w:pPr>
            <w:r>
              <w:rPr>
                <w:rFonts w:ascii="Calibri" w:hAnsi="Calibri"/>
                <w:b w:val="0"/>
                <w:color w:val="000000"/>
                <w:sz w:val="17"/>
              </w:rPr>
              <w:t>Plausible hypothesis</w:t>
            </w:r>
          </w:p>
        </w:tc>
        <w:tc>
          <w:tcPr>
            <w:tcW w:type="dxa" w:w="3710"/>
            <w:shd w:fill="FAFBFC"/>
            <w:vAlign w:val="center"/>
            <w:tcMar>
              <w:top w:w="80" w:type="dxa"/>
              <w:start w:w="120" w:type="dxa"/>
              <w:bottom w:w="80" w:type="dxa"/>
              <w:end w:w="120" w:type="dxa"/>
            </w:tcMar>
          </w:tcPr>
          <w:p>
            <w:pPr>
              <w:spacing w:after="0"/>
            </w:pPr>
            <w:r>
              <w:rPr>
                <w:rFonts w:ascii="Calibri" w:hAnsi="Calibri"/>
                <w:b w:val="0"/>
                <w:color w:val="000000"/>
                <w:sz w:val="17"/>
              </w:rPr>
              <w:t>Requires supporting analysis before claiming causation.</w:t>
            </w:r>
          </w:p>
        </w:tc>
      </w:tr>
      <w:tr>
        <w:tc>
          <w:tcPr>
            <w:tcW w:type="dxa" w:w="3750"/>
            <w:vAlign w:val="center"/>
            <w:tcMar>
              <w:top w:w="80" w:type="dxa"/>
              <w:start w:w="120" w:type="dxa"/>
              <w:bottom w:w="80" w:type="dxa"/>
              <w:end w:w="120" w:type="dxa"/>
            </w:tcMar>
          </w:tcPr>
          <w:p>
            <w:pPr>
              <w:spacing w:after="0"/>
            </w:pPr>
            <w:r>
              <w:rPr>
                <w:rFonts w:ascii="Calibri" w:hAnsi="Calibri"/>
                <w:b w:val="0"/>
                <w:color w:val="000000"/>
                <w:sz w:val="17"/>
              </w:rPr>
              <w:t>P&amp;G's brands became stronger every year.</w:t>
            </w:r>
          </w:p>
        </w:tc>
        <w:tc>
          <w:tcPr>
            <w:tcW w:type="dxa" w:w="1900"/>
            <w:vAlign w:val="center"/>
            <w:tcMar>
              <w:top w:w="80" w:type="dxa"/>
              <w:start w:w="120" w:type="dxa"/>
              <w:bottom w:w="80" w:type="dxa"/>
              <w:end w:w="120" w:type="dxa"/>
            </w:tcMar>
          </w:tcPr>
          <w:p>
            <w:pPr>
              <w:spacing w:after="0"/>
            </w:pPr>
            <w:r>
              <w:rPr>
                <w:rFonts w:ascii="Calibri" w:hAnsi="Calibri"/>
                <w:b w:val="0"/>
                <w:color w:val="000000"/>
                <w:sz w:val="17"/>
              </w:rPr>
              <w:t>Unsupported</w:t>
            </w:r>
          </w:p>
        </w:tc>
        <w:tc>
          <w:tcPr>
            <w:tcW w:type="dxa" w:w="3710"/>
            <w:vAlign w:val="center"/>
            <w:tcMar>
              <w:top w:w="80" w:type="dxa"/>
              <w:start w:w="120" w:type="dxa"/>
              <w:bottom w:w="80" w:type="dxa"/>
              <w:end w:w="120" w:type="dxa"/>
            </w:tcMar>
          </w:tcPr>
          <w:p>
            <w:pPr>
              <w:spacing w:after="0"/>
            </w:pPr>
            <w:r>
              <w:rPr>
                <w:rFonts w:ascii="Calibri" w:hAnsi="Calibri"/>
                <w:b w:val="0"/>
                <w:color w:val="000000"/>
                <w:sz w:val="17"/>
              </w:rPr>
              <w:t>The chart does not measure brand strength.</w:t>
            </w:r>
          </w:p>
        </w:tc>
      </w:tr>
      <w:tr>
        <w:tc>
          <w:tcPr>
            <w:tcW w:type="dxa" w:w="3750"/>
            <w:shd w:fill="FAFBFC"/>
            <w:vAlign w:val="center"/>
            <w:tcMar>
              <w:top w:w="80" w:type="dxa"/>
              <w:start w:w="120" w:type="dxa"/>
              <w:bottom w:w="80" w:type="dxa"/>
              <w:end w:w="120" w:type="dxa"/>
            </w:tcMar>
          </w:tcPr>
          <w:p>
            <w:pPr>
              <w:spacing w:after="0"/>
            </w:pPr>
            <w:r>
              <w:rPr>
                <w:rFonts w:ascii="Calibri" w:hAnsi="Calibri"/>
                <w:b w:val="0"/>
                <w:color w:val="000000"/>
                <w:sz w:val="17"/>
              </w:rPr>
              <w:t>EPS growth proves value creation.</w:t>
            </w:r>
          </w:p>
        </w:tc>
        <w:tc>
          <w:tcPr>
            <w:tcW w:type="dxa" w:w="1900"/>
            <w:shd w:fill="FAFBFC"/>
            <w:vAlign w:val="center"/>
            <w:tcMar>
              <w:top w:w="80" w:type="dxa"/>
              <w:start w:w="120" w:type="dxa"/>
              <w:bottom w:w="80" w:type="dxa"/>
              <w:end w:w="120" w:type="dxa"/>
            </w:tcMar>
          </w:tcPr>
          <w:p>
            <w:pPr>
              <w:spacing w:after="0"/>
            </w:pPr>
            <w:r>
              <w:rPr>
                <w:rFonts w:ascii="Calibri" w:hAnsi="Calibri"/>
                <w:b w:val="0"/>
                <w:color w:val="000000"/>
                <w:sz w:val="17"/>
              </w:rPr>
              <w:t>Incomplete</w:t>
            </w:r>
          </w:p>
        </w:tc>
        <w:tc>
          <w:tcPr>
            <w:tcW w:type="dxa" w:w="3710"/>
            <w:shd w:fill="FAFBFC"/>
            <w:vAlign w:val="center"/>
            <w:tcMar>
              <w:top w:w="80" w:type="dxa"/>
              <w:start w:w="120" w:type="dxa"/>
              <w:bottom w:w="80" w:type="dxa"/>
              <w:end w:w="120" w:type="dxa"/>
            </w:tcMar>
          </w:tcPr>
          <w:p>
            <w:pPr>
              <w:spacing w:after="0"/>
            </w:pPr>
            <w:r>
              <w:rPr>
                <w:rFonts w:ascii="Calibri" w:hAnsi="Calibri"/>
                <w:b w:val="0"/>
                <w:color w:val="000000"/>
                <w:sz w:val="17"/>
              </w:rPr>
              <w:t>Value also depends on cash flow, timing, risk, and required return.</w:t>
            </w:r>
          </w:p>
        </w:tc>
      </w:tr>
    </w:tbl>
    <w:p>
      <w:pPr>
        <w:spacing w:after="0"/>
      </w:pPr>
    </w:p>
    <w:p>
      <w:pPr>
        <w:pStyle w:val="Heading2"/>
      </w:pPr>
      <w:r>
        <w:t>Activity 4 - DuPont strength and risk</w:t>
      </w:r>
    </w:p>
    <w:p>
      <w:r>
        <w:t>Prompt: Which factor supports P&amp;G's ROE, which factor constrains it, and what risk is visible?</w:t>
      </w:r>
    </w:p>
    <w:tbl>
      <w:tblPr>
        <w:tblW w:type="dxa" w:w="9360"/>
        <w:jc w:val="left"/>
        <w:tblLayout w:type="fixed"/>
        <w:tblLook w:firstColumn="1" w:firstRow="1" w:lastColumn="0" w:lastRow="0" w:noHBand="0" w:noVBand="1" w:val="04A0"/>
        <w:tblInd w:w="120" w:type="dxa"/>
        <w:tblBorders>
          <w:top w:val="single" w:sz="1" w:space="0" w:color="E9F5EC"/>
          <w:left w:val="single" w:sz="1" w:space="0" w:color="E9F5EC"/>
          <w:bottom w:val="single" w:sz="1" w:space="0" w:color="E9F5EC"/>
          <w:right w:val="single" w:sz="1" w:space="0" w:color="E9F5EC"/>
          <w:insideH w:val="single" w:sz="1" w:space="0" w:color="E9F5EC"/>
          <w:insideV w:val="single" w:sz="1" w:space="0" w:color="E9F5EC"/>
        </w:tblBorders>
      </w:tblPr>
      <w:tblGrid>
        <w:gridCol w:w="9360"/>
      </w:tblGrid>
      <w:tr>
        <w:tc>
          <w:tcPr>
            <w:tcW w:type="dxa" w:w="9360"/>
            <w:vAlign w:val="center"/>
            <w:tcMar>
              <w:top w:w="80" w:type="dxa"/>
              <w:start w:w="120" w:type="dxa"/>
              <w:bottom w:w="80" w:type="dxa"/>
              <w:end w:w="120" w:type="dxa"/>
            </w:tcMar>
            <w:shd w:fill="E9F5EC"/>
          </w:tcPr>
          <w:p>
            <w:pPr>
              <w:spacing w:after="0"/>
            </w:pPr>
            <w:r>
              <w:rPr>
                <w:rFonts w:ascii="Calibri" w:hAnsi="Calibri"/>
                <w:b/>
                <w:color w:val="25633D"/>
                <w:sz w:val="21"/>
              </w:rPr>
              <w:t xml:space="preserve">Answer: </w:t>
            </w:r>
            <w:r>
              <w:rPr>
                <w:rFonts w:ascii="Calibri" w:hAnsi="Calibri"/>
                <w:color w:val="000000"/>
                <w:sz w:val="21"/>
              </w:rPr>
              <w:t>The 19.06% profit margin strongly supports ROE. The 0.681x asset turnover is comparatively modest. The 2.408x equity multiplier magnifies the product to 31.24% and signals financial leverage, which can magnify downside as well as upside.</w:t>
            </w:r>
          </w:p>
        </w:tc>
      </w:tr>
    </w:tbl>
    <w:p>
      <w:pPr>
        <w:spacing w:after="0"/>
      </w:pPr>
    </w:p>
    <w:p>
      <w:pPr>
        <w:pStyle w:val="Heading2"/>
      </w:pPr>
      <w:r>
        <w:t>Activity 5 - Visual verification</w:t>
      </w:r>
    </w:p>
    <w:p>
      <w:r>
        <w:t>Give teams a chart that is numerically correct but uses a truncated axis, mismatched widths, vague units, or colors that imply a false classification. Ask them to write a correction request to the AI.</w:t>
      </w:r>
    </w:p>
    <w:tbl>
      <w:tblPr>
        <w:tblW w:type="dxa" w:w="9360"/>
        <w:jc w:val="left"/>
        <w:tblLayout w:type="fixed"/>
        <w:tblLook w:firstColumn="1" w:firstRow="1" w:lastColumn="0" w:lastRow="0" w:noHBand="0" w:noVBand="1" w:val="04A0"/>
        <w:tblInd w:w="120" w:type="dxa"/>
        <w:tblBorders>
          <w:top w:val="single" w:sz="1" w:space="0" w:color="E9F5EC"/>
          <w:left w:val="single" w:sz="1" w:space="0" w:color="E9F5EC"/>
          <w:bottom w:val="single" w:sz="1" w:space="0" w:color="E9F5EC"/>
          <w:right w:val="single" w:sz="1" w:space="0" w:color="E9F5EC"/>
          <w:insideH w:val="single" w:sz="1" w:space="0" w:color="E9F5EC"/>
          <w:insideV w:val="single" w:sz="1" w:space="0" w:color="E9F5EC"/>
        </w:tblBorders>
      </w:tblPr>
      <w:tblGrid>
        <w:gridCol w:w="9360"/>
      </w:tblGrid>
      <w:tr>
        <w:tc>
          <w:tcPr>
            <w:tcW w:type="dxa" w:w="9360"/>
            <w:vAlign w:val="center"/>
            <w:tcMar>
              <w:top w:w="80" w:type="dxa"/>
              <w:start w:w="120" w:type="dxa"/>
              <w:bottom w:w="80" w:type="dxa"/>
              <w:end w:w="120" w:type="dxa"/>
            </w:tcMar>
            <w:shd w:fill="E9F5EC"/>
          </w:tcPr>
          <w:p>
            <w:pPr>
              <w:spacing w:after="0"/>
            </w:pPr>
            <w:r>
              <w:rPr>
                <w:rFonts w:ascii="Calibri" w:hAnsi="Calibri"/>
                <w:b/>
                <w:color w:val="25633D"/>
                <w:sz w:val="21"/>
              </w:rPr>
              <w:t xml:space="preserve">Strong correction prompt: </w:t>
            </w:r>
            <w:r>
              <w:rPr>
                <w:rFonts w:ascii="Calibri" w:hAnsi="Calibri"/>
                <w:color w:val="000000"/>
                <w:sz w:val="21"/>
              </w:rPr>
              <w:t>Keep the verified values unchanged. Start the sales axis at zero, label both y-axes and units, use width-proportional Sankey flows from the displayed dollar amounts, and distinguish GAAP from non-GAAP measures in the title and note.</w:t>
            </w:r>
          </w:p>
        </w:tc>
      </w:tr>
    </w:tbl>
    <w:p>
      <w:pPr>
        <w:spacing w:after="0"/>
      </w:pPr>
    </w:p>
    <w:p>
      <w:pPr>
        <w:pStyle w:val="Heading1"/>
      </w:pPr>
      <w:r>
        <w:t>7. Live AI/Python Demonstration Script</w:t>
      </w:r>
    </w:p>
    <w:p>
      <w:pPr>
        <w:pStyle w:val="ListNumber"/>
      </w:pPr>
      <w:r>
        <w:t>Open the prompt and underline the data lock: use the supplied workbook; do not invent replacements.</w:t>
      </w:r>
    </w:p>
    <w:p>
      <w:pPr>
        <w:pStyle w:val="ListNumber"/>
      </w:pPr>
      <w:r>
        <w:t>Underline the output contract: four PNGs, one dashboard, one CSV, one executable program.</w:t>
      </w:r>
    </w:p>
    <w:p>
      <w:pPr>
        <w:pStyle w:val="ListNumber"/>
      </w:pPr>
      <w:r>
        <w:t>Underline the failure contract: validate inputs and stop when an identity fails.</w:t>
      </w:r>
    </w:p>
    <w:p>
      <w:pPr>
        <w:pStyle w:val="ListNumber"/>
      </w:pPr>
      <w:r>
        <w:t>Ask AI to draft only load_metrics() first. Inspect its dependence on header names, sheet names, row numbers, and missing values.</w:t>
      </w:r>
    </w:p>
    <w:p>
      <w:pPr>
        <w:pStyle w:val="ListNumber"/>
      </w:pPr>
      <w:r>
        <w:t>Ask AI to list all hard-coded numbers and justify each. Remove any hard-coded financial statement value.</w:t>
      </w:r>
    </w:p>
    <w:p>
      <w:pPr>
        <w:pStyle w:val="ListNumber"/>
      </w:pPr>
      <w:r>
        <w:t>Add build_model() one formula family at a time. Test signs after CapEx and interest logic.</w:t>
      </w:r>
    </w:p>
    <w:p>
      <w:pPr>
        <w:pStyle w:val="ListNumber"/>
      </w:pPr>
      <w:r>
        <w:t>Add sanity_checks() before any plotting function. Intentionally change NET_SALES by $10M and demonstrate that export stops.</w:t>
      </w:r>
    </w:p>
    <w:p>
      <w:pPr>
        <w:pStyle w:val="ListNumber"/>
      </w:pPr>
      <w:r>
        <w:t>Restore the verified input, run the program, and compare the CSV to PG_Sanity_Checks.csv.</w:t>
      </w:r>
    </w:p>
    <w:p>
      <w:pPr>
        <w:pStyle w:val="ListNumber"/>
      </w:pPr>
      <w:r>
        <w:t>Inspect one chart for visual truth: axis bounds, width proportionality, units, fiscal year, and GAAP/non-GAAP labels.</w:t>
      </w:r>
    </w:p>
    <w:p>
      <w:pPr>
        <w:pStyle w:val="ListNumber"/>
      </w:pPr>
      <w:r>
        <w:t>Record a human correction and ask a student to explain the revised block without AI assistance.</w:t>
      </w:r>
    </w:p>
    <w:p>
      <w:pPr>
        <w:pStyle w:val="CodeBlock"/>
        <w:keepLines/>
      </w:pPr>
      <w:r>
        <w:t>python -m pip install -r requirements.txt</w:t>
      </w:r>
    </w:p>
    <w:p>
      <w:pPr>
        <w:pStyle w:val="CodeBlock"/>
        <w:keepLines/>
      </w:pPr>
      <w:r>
        <w:t>python pg_financial_story.py --workbook PG_FinancialStory_Student.xlsx --output PG_Output</w:t>
      </w:r>
    </w:p>
    <w:p>
      <w:pPr>
        <w:pStyle w:val="Heading1"/>
      </w:pPr>
      <w:r>
        <w:t>8. Assessment Plan</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1200"/>
        <w:gridCol w:w="2100"/>
        <w:gridCol w:w="3100"/>
        <w:gridCol w:w="2960"/>
      </w:tblGrid>
      <w:tr>
        <w:trPr>
          <w:tblHeader w:val="true"/>
        </w:trPr>
        <w:tc>
          <w:tcPr>
            <w:tcW w:type="dxa" w:w="1200"/>
            <w:vAlign w:val="center"/>
            <w:tcMar>
              <w:top w:w="80" w:type="dxa"/>
              <w:start w:w="120" w:type="dxa"/>
              <w:bottom w:w="80" w:type="dxa"/>
              <w:end w:w="120" w:type="dxa"/>
            </w:tcMar>
            <w:shd w:fill="E8EEF5"/>
          </w:tcPr>
          <w:p>
            <w:pPr>
              <w:spacing w:after="0"/>
            </w:pPr>
            <w:r>
              <w:rPr>
                <w:rFonts w:ascii="Calibri" w:hAnsi="Calibri"/>
                <w:b/>
                <w:color w:val="0B2545"/>
                <w:sz w:val="16"/>
              </w:rPr>
              <w:t>When</w:t>
            </w:r>
          </w:p>
        </w:tc>
        <w:tc>
          <w:tcPr>
            <w:tcW w:type="dxa" w:w="2100"/>
            <w:vAlign w:val="center"/>
            <w:tcMar>
              <w:top w:w="80" w:type="dxa"/>
              <w:start w:w="120" w:type="dxa"/>
              <w:bottom w:w="80" w:type="dxa"/>
              <w:end w:w="120" w:type="dxa"/>
            </w:tcMar>
            <w:shd w:fill="E8EEF5"/>
          </w:tcPr>
          <w:p>
            <w:pPr>
              <w:spacing w:after="0"/>
            </w:pPr>
            <w:r>
              <w:rPr>
                <w:rFonts w:ascii="Calibri" w:hAnsi="Calibri"/>
                <w:b/>
                <w:color w:val="0B2545"/>
                <w:sz w:val="16"/>
              </w:rPr>
              <w:t>Assessment</w:t>
            </w:r>
          </w:p>
        </w:tc>
        <w:tc>
          <w:tcPr>
            <w:tcW w:type="dxa" w:w="3100"/>
            <w:vAlign w:val="center"/>
            <w:tcMar>
              <w:top w:w="80" w:type="dxa"/>
              <w:start w:w="120" w:type="dxa"/>
              <w:bottom w:w="80" w:type="dxa"/>
              <w:end w:w="120" w:type="dxa"/>
            </w:tcMar>
            <w:shd w:fill="E8EEF5"/>
          </w:tcPr>
          <w:p>
            <w:pPr>
              <w:spacing w:after="0"/>
            </w:pPr>
            <w:r>
              <w:rPr>
                <w:rFonts w:ascii="Calibri" w:hAnsi="Calibri"/>
                <w:b/>
                <w:color w:val="0B2545"/>
                <w:sz w:val="16"/>
              </w:rPr>
              <w:t>Evidence</w:t>
            </w:r>
          </w:p>
        </w:tc>
        <w:tc>
          <w:tcPr>
            <w:tcW w:type="dxa" w:w="2960"/>
            <w:vAlign w:val="center"/>
            <w:tcMar>
              <w:top w:w="80" w:type="dxa"/>
              <w:start w:w="120" w:type="dxa"/>
              <w:bottom w:w="80" w:type="dxa"/>
              <w:end w:w="120" w:type="dxa"/>
            </w:tcMar>
            <w:shd w:fill="E8EEF5"/>
          </w:tcPr>
          <w:p>
            <w:pPr>
              <w:spacing w:after="0"/>
            </w:pPr>
            <w:r>
              <w:rPr>
                <w:rFonts w:ascii="Calibri" w:hAnsi="Calibri"/>
                <w:b/>
                <w:color w:val="0B2545"/>
                <w:sz w:val="16"/>
              </w:rPr>
              <w:t>Response</w:t>
            </w:r>
          </w:p>
        </w:tc>
      </w:tr>
      <w:tr>
        <w:tc>
          <w:tcPr>
            <w:tcW w:type="dxa" w:w="1200"/>
            <w:vAlign w:val="center"/>
            <w:tcMar>
              <w:top w:w="80" w:type="dxa"/>
              <w:start w:w="120" w:type="dxa"/>
              <w:bottom w:w="80" w:type="dxa"/>
              <w:end w:w="120" w:type="dxa"/>
            </w:tcMar>
          </w:tcPr>
          <w:p>
            <w:pPr>
              <w:spacing w:after="0"/>
            </w:pPr>
            <w:r>
              <w:rPr>
                <w:rFonts w:ascii="Calibri" w:hAnsi="Calibri"/>
                <w:b w:val="0"/>
                <w:color w:val="000000"/>
                <w:sz w:val="16"/>
              </w:rPr>
              <w:t>Opening</w:t>
            </w:r>
          </w:p>
        </w:tc>
        <w:tc>
          <w:tcPr>
            <w:tcW w:type="dxa" w:w="2100"/>
            <w:vAlign w:val="center"/>
            <w:tcMar>
              <w:top w:w="80" w:type="dxa"/>
              <w:start w:w="120" w:type="dxa"/>
              <w:bottom w:w="80" w:type="dxa"/>
              <w:end w:w="120" w:type="dxa"/>
            </w:tcMar>
          </w:tcPr>
          <w:p>
            <w:pPr>
              <w:spacing w:after="0"/>
            </w:pPr>
            <w:r>
              <w:rPr>
                <w:rFonts w:ascii="Calibri" w:hAnsi="Calibri"/>
                <w:b w:val="0"/>
                <w:color w:val="000000"/>
                <w:sz w:val="16"/>
              </w:rPr>
              <w:t>Prediction</w:t>
            </w:r>
          </w:p>
        </w:tc>
        <w:tc>
          <w:tcPr>
            <w:tcW w:type="dxa" w:w="3100"/>
            <w:vAlign w:val="center"/>
            <w:tcMar>
              <w:top w:w="80" w:type="dxa"/>
              <w:start w:w="120" w:type="dxa"/>
              <w:bottom w:w="80" w:type="dxa"/>
              <w:end w:w="120" w:type="dxa"/>
            </w:tcMar>
          </w:tcPr>
          <w:p>
            <w:pPr>
              <w:spacing w:after="0"/>
            </w:pPr>
            <w:r>
              <w:rPr>
                <w:rFonts w:ascii="Calibri" w:hAnsi="Calibri"/>
                <w:b w:val="0"/>
                <w:color w:val="000000"/>
                <w:sz w:val="16"/>
              </w:rPr>
              <w:t>Reason EPS may differ from sales.</w:t>
            </w:r>
          </w:p>
        </w:tc>
        <w:tc>
          <w:tcPr>
            <w:tcW w:type="dxa" w:w="2960"/>
            <w:vAlign w:val="center"/>
            <w:tcMar>
              <w:top w:w="80" w:type="dxa"/>
              <w:start w:w="120" w:type="dxa"/>
              <w:bottom w:w="80" w:type="dxa"/>
              <w:end w:w="120" w:type="dxa"/>
            </w:tcMar>
          </w:tcPr>
          <w:p>
            <w:pPr>
              <w:spacing w:after="0"/>
            </w:pPr>
            <w:r>
              <w:rPr>
                <w:rFonts w:ascii="Calibri" w:hAnsi="Calibri"/>
                <w:b w:val="0"/>
                <w:color w:val="000000"/>
                <w:sz w:val="16"/>
              </w:rPr>
              <w:t>Surface prior knowledge; do not grade accuracy.</w:t>
            </w:r>
          </w:p>
        </w:tc>
      </w:tr>
      <w:tr>
        <w:tc>
          <w:tcPr>
            <w:tcW w:type="dxa" w:w="1200"/>
            <w:shd w:fill="FAFBFC"/>
            <w:vAlign w:val="center"/>
            <w:tcMar>
              <w:top w:w="80" w:type="dxa"/>
              <w:start w:w="120" w:type="dxa"/>
              <w:bottom w:w="80" w:type="dxa"/>
              <w:end w:w="120" w:type="dxa"/>
            </w:tcMar>
          </w:tcPr>
          <w:p>
            <w:pPr>
              <w:spacing w:after="0"/>
            </w:pPr>
            <w:r>
              <w:rPr>
                <w:rFonts w:ascii="Calibri" w:hAnsi="Calibri"/>
                <w:b w:val="0"/>
                <w:color w:val="000000"/>
                <w:sz w:val="16"/>
              </w:rPr>
              <w:t>After Sankey</w:t>
            </w:r>
          </w:p>
        </w:tc>
        <w:tc>
          <w:tcPr>
            <w:tcW w:type="dxa" w:w="2100"/>
            <w:shd w:fill="FAFBFC"/>
            <w:vAlign w:val="center"/>
            <w:tcMar>
              <w:top w:w="80" w:type="dxa"/>
              <w:start w:w="120" w:type="dxa"/>
              <w:bottom w:w="80" w:type="dxa"/>
              <w:end w:w="120" w:type="dxa"/>
            </w:tcMar>
          </w:tcPr>
          <w:p>
            <w:pPr>
              <w:spacing w:after="0"/>
            </w:pPr>
            <w:r>
              <w:rPr>
                <w:rFonts w:ascii="Calibri" w:hAnsi="Calibri"/>
                <w:b w:val="0"/>
                <w:color w:val="000000"/>
                <w:sz w:val="16"/>
              </w:rPr>
              <w:t>Node audit</w:t>
            </w:r>
          </w:p>
        </w:tc>
        <w:tc>
          <w:tcPr>
            <w:tcW w:type="dxa" w:w="3100"/>
            <w:shd w:fill="FAFBFC"/>
            <w:vAlign w:val="center"/>
            <w:tcMar>
              <w:top w:w="80" w:type="dxa"/>
              <w:start w:w="120" w:type="dxa"/>
              <w:bottom w:w="80" w:type="dxa"/>
              <w:end w:w="120" w:type="dxa"/>
            </w:tcMar>
          </w:tcPr>
          <w:p>
            <w:pPr>
              <w:spacing w:after="0"/>
            </w:pPr>
            <w:r>
              <w:rPr>
                <w:rFonts w:ascii="Calibri" w:hAnsi="Calibri"/>
                <w:b w:val="0"/>
                <w:color w:val="000000"/>
                <w:sz w:val="16"/>
              </w:rPr>
              <w:t>One balanced identity and classification.</w:t>
            </w:r>
          </w:p>
        </w:tc>
        <w:tc>
          <w:tcPr>
            <w:tcW w:type="dxa" w:w="2960"/>
            <w:shd w:fill="FAFBFC"/>
            <w:vAlign w:val="center"/>
            <w:tcMar>
              <w:top w:w="80" w:type="dxa"/>
              <w:start w:w="120" w:type="dxa"/>
              <w:bottom w:w="80" w:type="dxa"/>
              <w:end w:w="120" w:type="dxa"/>
            </w:tcMar>
          </w:tcPr>
          <w:p>
            <w:pPr>
              <w:spacing w:after="0"/>
            </w:pPr>
            <w:r>
              <w:rPr>
                <w:rFonts w:ascii="Calibri" w:hAnsi="Calibri"/>
                <w:b w:val="0"/>
                <w:color w:val="000000"/>
                <w:sz w:val="16"/>
              </w:rPr>
              <w:t>Correct EBIT/non-operating confusion immediately.</w:t>
            </w:r>
          </w:p>
        </w:tc>
      </w:tr>
      <w:tr>
        <w:tc>
          <w:tcPr>
            <w:tcW w:type="dxa" w:w="1200"/>
            <w:vAlign w:val="center"/>
            <w:tcMar>
              <w:top w:w="80" w:type="dxa"/>
              <w:start w:w="120" w:type="dxa"/>
              <w:bottom w:w="80" w:type="dxa"/>
              <w:end w:w="120" w:type="dxa"/>
            </w:tcMar>
          </w:tcPr>
          <w:p>
            <w:pPr>
              <w:spacing w:after="0"/>
            </w:pPr>
            <w:r>
              <w:rPr>
                <w:rFonts w:ascii="Calibri" w:hAnsi="Calibri"/>
                <w:b w:val="0"/>
                <w:color w:val="000000"/>
                <w:sz w:val="16"/>
              </w:rPr>
              <w:t>After FCF</w:t>
            </w:r>
          </w:p>
        </w:tc>
        <w:tc>
          <w:tcPr>
            <w:tcW w:type="dxa" w:w="2100"/>
            <w:vAlign w:val="center"/>
            <w:tcMar>
              <w:top w:w="80" w:type="dxa"/>
              <w:start w:w="120" w:type="dxa"/>
              <w:bottom w:w="80" w:type="dxa"/>
              <w:end w:w="120" w:type="dxa"/>
            </w:tcMar>
          </w:tcPr>
          <w:p>
            <w:pPr>
              <w:spacing w:after="0"/>
            </w:pPr>
            <w:r>
              <w:rPr>
                <w:rFonts w:ascii="Calibri" w:hAnsi="Calibri"/>
                <w:b w:val="0"/>
                <w:color w:val="000000"/>
                <w:sz w:val="16"/>
              </w:rPr>
              <w:t>Sign check</w:t>
            </w:r>
          </w:p>
        </w:tc>
        <w:tc>
          <w:tcPr>
            <w:tcW w:type="dxa" w:w="3100"/>
            <w:vAlign w:val="center"/>
            <w:tcMar>
              <w:top w:w="80" w:type="dxa"/>
              <w:start w:w="120" w:type="dxa"/>
              <w:bottom w:w="80" w:type="dxa"/>
              <w:end w:w="120" w:type="dxa"/>
            </w:tcMar>
          </w:tcPr>
          <w:p>
            <w:pPr>
              <w:spacing w:after="0"/>
            </w:pPr>
            <w:r>
              <w:rPr>
                <w:rFonts w:ascii="Calibri" w:hAnsi="Calibri"/>
                <w:b w:val="0"/>
                <w:color w:val="000000"/>
                <w:sz w:val="16"/>
              </w:rPr>
              <w:t>Correct CapEx logic and residual explanation.</w:t>
            </w:r>
          </w:p>
        </w:tc>
        <w:tc>
          <w:tcPr>
            <w:tcW w:type="dxa" w:w="2960"/>
            <w:vAlign w:val="center"/>
            <w:tcMar>
              <w:top w:w="80" w:type="dxa"/>
              <w:start w:w="120" w:type="dxa"/>
              <w:bottom w:w="80" w:type="dxa"/>
              <w:end w:w="120" w:type="dxa"/>
            </w:tcMar>
          </w:tcPr>
          <w:p>
            <w:pPr>
              <w:spacing w:after="0"/>
            </w:pPr>
            <w:r>
              <w:rPr>
                <w:rFonts w:ascii="Calibri" w:hAnsi="Calibri"/>
                <w:b w:val="0"/>
                <w:color w:val="000000"/>
                <w:sz w:val="16"/>
              </w:rPr>
              <w:t>Rebuild the formula if students rely on memorized signs.</w:t>
            </w:r>
          </w:p>
        </w:tc>
      </w:tr>
      <w:tr>
        <w:tc>
          <w:tcPr>
            <w:tcW w:type="dxa" w:w="1200"/>
            <w:shd w:fill="FAFBFC"/>
            <w:vAlign w:val="center"/>
            <w:tcMar>
              <w:top w:w="80" w:type="dxa"/>
              <w:start w:w="120" w:type="dxa"/>
              <w:bottom w:w="80" w:type="dxa"/>
              <w:end w:w="120" w:type="dxa"/>
            </w:tcMar>
          </w:tcPr>
          <w:p>
            <w:pPr>
              <w:spacing w:after="0"/>
            </w:pPr>
            <w:r>
              <w:rPr>
                <w:rFonts w:ascii="Calibri" w:hAnsi="Calibri"/>
                <w:b w:val="0"/>
                <w:color w:val="000000"/>
                <w:sz w:val="16"/>
              </w:rPr>
              <w:t>After trend</w:t>
            </w:r>
          </w:p>
        </w:tc>
        <w:tc>
          <w:tcPr>
            <w:tcW w:type="dxa" w:w="2100"/>
            <w:shd w:fill="FAFBFC"/>
            <w:vAlign w:val="center"/>
            <w:tcMar>
              <w:top w:w="80" w:type="dxa"/>
              <w:start w:w="120" w:type="dxa"/>
              <w:bottom w:w="80" w:type="dxa"/>
              <w:end w:w="120" w:type="dxa"/>
            </w:tcMar>
          </w:tcPr>
          <w:p>
            <w:pPr>
              <w:spacing w:after="0"/>
            </w:pPr>
            <w:r>
              <w:rPr>
                <w:rFonts w:ascii="Calibri" w:hAnsi="Calibri"/>
                <w:b w:val="0"/>
                <w:color w:val="000000"/>
                <w:sz w:val="16"/>
              </w:rPr>
              <w:t>Claim sorting</w:t>
            </w:r>
          </w:p>
        </w:tc>
        <w:tc>
          <w:tcPr>
            <w:tcW w:type="dxa" w:w="3100"/>
            <w:shd w:fill="FAFBFC"/>
            <w:vAlign w:val="center"/>
            <w:tcMar>
              <w:top w:w="80" w:type="dxa"/>
              <w:start w:w="120" w:type="dxa"/>
              <w:bottom w:w="80" w:type="dxa"/>
              <w:end w:w="120" w:type="dxa"/>
            </w:tcMar>
          </w:tcPr>
          <w:p>
            <w:pPr>
              <w:spacing w:after="0"/>
            </w:pPr>
            <w:r>
              <w:rPr>
                <w:rFonts w:ascii="Calibri" w:hAnsi="Calibri"/>
                <w:b w:val="0"/>
                <w:color w:val="000000"/>
                <w:sz w:val="16"/>
              </w:rPr>
              <w:t>Fact vs hypothesis vs unsupported claim.</w:t>
            </w:r>
          </w:p>
        </w:tc>
        <w:tc>
          <w:tcPr>
            <w:tcW w:type="dxa" w:w="2960"/>
            <w:shd w:fill="FAFBFC"/>
            <w:vAlign w:val="center"/>
            <w:tcMar>
              <w:top w:w="80" w:type="dxa"/>
              <w:start w:w="120" w:type="dxa"/>
              <w:bottom w:w="80" w:type="dxa"/>
              <w:end w:w="120" w:type="dxa"/>
            </w:tcMar>
          </w:tcPr>
          <w:p>
            <w:pPr>
              <w:spacing w:after="0"/>
            </w:pPr>
            <w:r>
              <w:rPr>
                <w:rFonts w:ascii="Calibri" w:hAnsi="Calibri"/>
                <w:b w:val="0"/>
                <w:color w:val="000000"/>
                <w:sz w:val="16"/>
              </w:rPr>
              <w:t>Require evidence language.</w:t>
            </w:r>
          </w:p>
        </w:tc>
      </w:tr>
      <w:tr>
        <w:tc>
          <w:tcPr>
            <w:tcW w:type="dxa" w:w="1200"/>
            <w:vAlign w:val="center"/>
            <w:tcMar>
              <w:top w:w="80" w:type="dxa"/>
              <w:start w:w="120" w:type="dxa"/>
              <w:bottom w:w="80" w:type="dxa"/>
              <w:end w:w="120" w:type="dxa"/>
            </w:tcMar>
          </w:tcPr>
          <w:p>
            <w:pPr>
              <w:spacing w:after="0"/>
            </w:pPr>
            <w:r>
              <w:rPr>
                <w:rFonts w:ascii="Calibri" w:hAnsi="Calibri"/>
                <w:b w:val="0"/>
                <w:color w:val="000000"/>
                <w:sz w:val="16"/>
              </w:rPr>
              <w:t>After DuPont</w:t>
            </w:r>
          </w:p>
        </w:tc>
        <w:tc>
          <w:tcPr>
            <w:tcW w:type="dxa" w:w="2100"/>
            <w:vAlign w:val="center"/>
            <w:tcMar>
              <w:top w:w="80" w:type="dxa"/>
              <w:start w:w="120" w:type="dxa"/>
              <w:bottom w:w="80" w:type="dxa"/>
              <w:end w:w="120" w:type="dxa"/>
            </w:tcMar>
          </w:tcPr>
          <w:p>
            <w:pPr>
              <w:spacing w:after="0"/>
            </w:pPr>
            <w:r>
              <w:rPr>
                <w:rFonts w:ascii="Calibri" w:hAnsi="Calibri"/>
                <w:b w:val="0"/>
                <w:color w:val="000000"/>
                <w:sz w:val="16"/>
              </w:rPr>
              <w:t>Factor interpretation</w:t>
            </w:r>
          </w:p>
        </w:tc>
        <w:tc>
          <w:tcPr>
            <w:tcW w:type="dxa" w:w="3100"/>
            <w:vAlign w:val="center"/>
            <w:tcMar>
              <w:top w:w="80" w:type="dxa"/>
              <w:start w:w="120" w:type="dxa"/>
              <w:bottom w:w="80" w:type="dxa"/>
              <w:end w:w="120" w:type="dxa"/>
            </w:tcMar>
          </w:tcPr>
          <w:p>
            <w:pPr>
              <w:spacing w:after="0"/>
            </w:pPr>
            <w:r>
              <w:rPr>
                <w:rFonts w:ascii="Calibri" w:hAnsi="Calibri"/>
                <w:b w:val="0"/>
                <w:color w:val="000000"/>
                <w:sz w:val="16"/>
              </w:rPr>
              <w:t>Strength, constraint, and risk.</w:t>
            </w:r>
          </w:p>
        </w:tc>
        <w:tc>
          <w:tcPr>
            <w:tcW w:type="dxa" w:w="2960"/>
            <w:vAlign w:val="center"/>
            <w:tcMar>
              <w:top w:w="80" w:type="dxa"/>
              <w:start w:w="120" w:type="dxa"/>
              <w:bottom w:w="80" w:type="dxa"/>
              <w:end w:w="120" w:type="dxa"/>
            </w:tcMar>
          </w:tcPr>
          <w:p>
            <w:pPr>
              <w:spacing w:after="0"/>
            </w:pPr>
            <w:r>
              <w:rPr>
                <w:rFonts w:ascii="Calibri" w:hAnsi="Calibri"/>
                <w:b w:val="0"/>
                <w:color w:val="000000"/>
                <w:sz w:val="16"/>
              </w:rPr>
              <w:t>Tie leverage to Chapters 7-8.</w:t>
            </w:r>
          </w:p>
        </w:tc>
      </w:tr>
      <w:tr>
        <w:tc>
          <w:tcPr>
            <w:tcW w:type="dxa" w:w="1200"/>
            <w:shd w:fill="FAFBFC"/>
            <w:vAlign w:val="center"/>
            <w:tcMar>
              <w:top w:w="80" w:type="dxa"/>
              <w:start w:w="120" w:type="dxa"/>
              <w:bottom w:w="80" w:type="dxa"/>
              <w:end w:w="120" w:type="dxa"/>
            </w:tcMar>
          </w:tcPr>
          <w:p>
            <w:pPr>
              <w:spacing w:after="0"/>
            </w:pPr>
            <w:r>
              <w:rPr>
                <w:rFonts w:ascii="Calibri" w:hAnsi="Calibri"/>
                <w:b w:val="0"/>
                <w:color w:val="000000"/>
                <w:sz w:val="16"/>
              </w:rPr>
              <w:t>AI lab</w:t>
            </w:r>
          </w:p>
        </w:tc>
        <w:tc>
          <w:tcPr>
            <w:tcW w:type="dxa" w:w="2100"/>
            <w:shd w:fill="FAFBFC"/>
            <w:vAlign w:val="center"/>
            <w:tcMar>
              <w:top w:w="80" w:type="dxa"/>
              <w:start w:w="120" w:type="dxa"/>
              <w:bottom w:w="80" w:type="dxa"/>
              <w:end w:w="120" w:type="dxa"/>
            </w:tcMar>
          </w:tcPr>
          <w:p>
            <w:pPr>
              <w:spacing w:after="0"/>
            </w:pPr>
            <w:r>
              <w:rPr>
                <w:rFonts w:ascii="Calibri" w:hAnsi="Calibri"/>
                <w:b w:val="0"/>
                <w:color w:val="000000"/>
                <w:sz w:val="16"/>
              </w:rPr>
              <w:t>Code trace</w:t>
            </w:r>
          </w:p>
        </w:tc>
        <w:tc>
          <w:tcPr>
            <w:tcW w:type="dxa" w:w="3100"/>
            <w:shd w:fill="FAFBFC"/>
            <w:vAlign w:val="center"/>
            <w:tcMar>
              <w:top w:w="80" w:type="dxa"/>
              <w:start w:w="120" w:type="dxa"/>
              <w:bottom w:w="80" w:type="dxa"/>
              <w:end w:w="120" w:type="dxa"/>
            </w:tcMar>
          </w:tcPr>
          <w:p>
            <w:pPr>
              <w:spacing w:after="0"/>
            </w:pPr>
            <w:r>
              <w:rPr>
                <w:rFonts w:ascii="Calibri" w:hAnsi="Calibri"/>
                <w:b w:val="0"/>
                <w:color w:val="000000"/>
                <w:sz w:val="16"/>
              </w:rPr>
              <w:t>Input -&gt; formula -&gt; check -&gt; chart label.</w:t>
            </w:r>
          </w:p>
        </w:tc>
        <w:tc>
          <w:tcPr>
            <w:tcW w:type="dxa" w:w="2960"/>
            <w:shd w:fill="FAFBFC"/>
            <w:vAlign w:val="center"/>
            <w:tcMar>
              <w:top w:w="80" w:type="dxa"/>
              <w:start w:w="120" w:type="dxa"/>
              <w:bottom w:w="80" w:type="dxa"/>
              <w:end w:w="120" w:type="dxa"/>
            </w:tcMar>
          </w:tcPr>
          <w:p>
            <w:pPr>
              <w:spacing w:after="0"/>
            </w:pPr>
            <w:r>
              <w:rPr>
                <w:rFonts w:ascii="Calibri" w:hAnsi="Calibri"/>
                <w:b w:val="0"/>
                <w:color w:val="000000"/>
                <w:sz w:val="16"/>
              </w:rPr>
              <w:t>Ask a different team member to explain each link.</w:t>
            </w:r>
          </w:p>
        </w:tc>
      </w:tr>
      <w:tr>
        <w:tc>
          <w:tcPr>
            <w:tcW w:type="dxa" w:w="1200"/>
            <w:vAlign w:val="center"/>
            <w:tcMar>
              <w:top w:w="80" w:type="dxa"/>
              <w:start w:w="120" w:type="dxa"/>
              <w:bottom w:w="80" w:type="dxa"/>
              <w:end w:w="120" w:type="dxa"/>
            </w:tcMar>
          </w:tcPr>
          <w:p>
            <w:pPr>
              <w:spacing w:after="0"/>
            </w:pPr>
            <w:r>
              <w:rPr>
                <w:rFonts w:ascii="Calibri" w:hAnsi="Calibri"/>
                <w:b w:val="0"/>
                <w:color w:val="000000"/>
                <w:sz w:val="16"/>
              </w:rPr>
              <w:t>End</w:t>
            </w:r>
          </w:p>
        </w:tc>
        <w:tc>
          <w:tcPr>
            <w:tcW w:type="dxa" w:w="2100"/>
            <w:vAlign w:val="center"/>
            <w:tcMar>
              <w:top w:w="80" w:type="dxa"/>
              <w:start w:w="120" w:type="dxa"/>
              <w:bottom w:w="80" w:type="dxa"/>
              <w:end w:w="120" w:type="dxa"/>
            </w:tcMar>
          </w:tcPr>
          <w:p>
            <w:pPr>
              <w:spacing w:after="0"/>
            </w:pPr>
            <w:r>
              <w:rPr>
                <w:rFonts w:ascii="Calibri" w:hAnsi="Calibri"/>
                <w:b w:val="0"/>
                <w:color w:val="000000"/>
                <w:sz w:val="16"/>
              </w:rPr>
              <w:t>Exit ticket</w:t>
            </w:r>
          </w:p>
        </w:tc>
        <w:tc>
          <w:tcPr>
            <w:tcW w:type="dxa" w:w="3100"/>
            <w:vAlign w:val="center"/>
            <w:tcMar>
              <w:top w:w="80" w:type="dxa"/>
              <w:start w:w="120" w:type="dxa"/>
              <w:bottom w:w="80" w:type="dxa"/>
              <w:end w:w="120" w:type="dxa"/>
            </w:tcMar>
          </w:tcPr>
          <w:p>
            <w:pPr>
              <w:spacing w:after="0"/>
            </w:pPr>
            <w:r>
              <w:rPr>
                <w:rFonts w:ascii="Calibri" w:hAnsi="Calibri"/>
                <w:b w:val="0"/>
                <w:color w:val="000000"/>
                <w:sz w:val="16"/>
              </w:rPr>
              <w:t>One formula, one check, one risk.</w:t>
            </w:r>
          </w:p>
        </w:tc>
        <w:tc>
          <w:tcPr>
            <w:tcW w:type="dxa" w:w="2960"/>
            <w:vAlign w:val="center"/>
            <w:tcMar>
              <w:top w:w="80" w:type="dxa"/>
              <w:start w:w="120" w:type="dxa"/>
              <w:bottom w:w="80" w:type="dxa"/>
              <w:end w:w="120" w:type="dxa"/>
            </w:tcMar>
          </w:tcPr>
          <w:p>
            <w:pPr>
              <w:spacing w:after="0"/>
            </w:pPr>
            <w:r>
              <w:rPr>
                <w:rFonts w:ascii="Calibri" w:hAnsi="Calibri"/>
                <w:b w:val="0"/>
                <w:color w:val="000000"/>
                <w:sz w:val="16"/>
              </w:rPr>
              <w:t>Use gaps to plan the next class.</w:t>
            </w:r>
          </w:p>
        </w:tc>
      </w:tr>
      <w:tr>
        <w:tc>
          <w:tcPr>
            <w:tcW w:type="dxa" w:w="1200"/>
            <w:shd w:fill="FAFBFC"/>
            <w:vAlign w:val="center"/>
            <w:tcMar>
              <w:top w:w="80" w:type="dxa"/>
              <w:start w:w="120" w:type="dxa"/>
              <w:bottom w:w="80" w:type="dxa"/>
              <w:end w:w="120" w:type="dxa"/>
            </w:tcMar>
          </w:tcPr>
          <w:p>
            <w:pPr>
              <w:spacing w:after="0"/>
            </w:pPr>
            <w:r>
              <w:rPr>
                <w:rFonts w:ascii="Calibri" w:hAnsi="Calibri"/>
                <w:b w:val="0"/>
                <w:color w:val="000000"/>
                <w:sz w:val="16"/>
              </w:rPr>
              <w:t>Submission</w:t>
            </w:r>
          </w:p>
        </w:tc>
        <w:tc>
          <w:tcPr>
            <w:tcW w:type="dxa" w:w="2100"/>
            <w:shd w:fill="FAFBFC"/>
            <w:vAlign w:val="center"/>
            <w:tcMar>
              <w:top w:w="80" w:type="dxa"/>
              <w:start w:w="120" w:type="dxa"/>
              <w:bottom w:w="80" w:type="dxa"/>
              <w:end w:w="120" w:type="dxa"/>
            </w:tcMar>
          </w:tcPr>
          <w:p>
            <w:pPr>
              <w:spacing w:after="0"/>
            </w:pPr>
            <w:r>
              <w:rPr>
                <w:rFonts w:ascii="Calibri" w:hAnsi="Calibri"/>
                <w:b w:val="0"/>
                <w:color w:val="000000"/>
                <w:sz w:val="16"/>
              </w:rPr>
              <w:t>100-point rubric</w:t>
            </w:r>
          </w:p>
        </w:tc>
        <w:tc>
          <w:tcPr>
            <w:tcW w:type="dxa" w:w="3100"/>
            <w:shd w:fill="FAFBFC"/>
            <w:vAlign w:val="center"/>
            <w:tcMar>
              <w:top w:w="80" w:type="dxa"/>
              <w:start w:w="120" w:type="dxa"/>
              <w:bottom w:w="80" w:type="dxa"/>
              <w:end w:w="120" w:type="dxa"/>
            </w:tcMar>
          </w:tcPr>
          <w:p>
            <w:pPr>
              <w:spacing w:after="0"/>
            </w:pPr>
            <w:r>
              <w:rPr>
                <w:rFonts w:ascii="Calibri" w:hAnsi="Calibri"/>
                <w:b w:val="0"/>
                <w:color w:val="000000"/>
                <w:sz w:val="16"/>
              </w:rPr>
              <w:t>Files, checks, interpretation, presentation, oral questions.</w:t>
            </w:r>
          </w:p>
        </w:tc>
        <w:tc>
          <w:tcPr>
            <w:tcW w:type="dxa" w:w="2960"/>
            <w:shd w:fill="FAFBFC"/>
            <w:vAlign w:val="center"/>
            <w:tcMar>
              <w:top w:w="80" w:type="dxa"/>
              <w:start w:w="120" w:type="dxa"/>
              <w:bottom w:w="80" w:type="dxa"/>
              <w:end w:w="120" w:type="dxa"/>
            </w:tcMar>
          </w:tcPr>
          <w:p>
            <w:pPr>
              <w:spacing w:after="0"/>
            </w:pPr>
            <w:r>
              <w:rPr>
                <w:rFonts w:ascii="Calibri" w:hAnsi="Calibri"/>
                <w:b w:val="0"/>
                <w:color w:val="000000"/>
                <w:sz w:val="16"/>
              </w:rPr>
              <w:t>Adjust individual score if understanding is not demonstrated.</w:t>
            </w:r>
          </w:p>
        </w:tc>
      </w:tr>
    </w:tbl>
    <w:p>
      <w:pPr>
        <w:spacing w:after="0"/>
      </w:pPr>
    </w:p>
    <w:p>
      <w:pPr>
        <w:pStyle w:val="Heading1"/>
      </w:pPr>
      <w:r>
        <w:t>9. Common Misconceptions and Instructor Responses</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2900"/>
        <w:gridCol w:w="2800"/>
        <w:gridCol w:w="3660"/>
      </w:tblGrid>
      <w:tr>
        <w:trPr>
          <w:tblHeader w:val="true"/>
        </w:trPr>
        <w:tc>
          <w:tcPr>
            <w:tcW w:type="dxa" w:w="2900"/>
            <w:vAlign w:val="center"/>
            <w:tcMar>
              <w:top w:w="80" w:type="dxa"/>
              <w:start w:w="120" w:type="dxa"/>
              <w:bottom w:w="80" w:type="dxa"/>
              <w:end w:w="120" w:type="dxa"/>
            </w:tcMar>
            <w:shd w:fill="E8EEF5"/>
          </w:tcPr>
          <w:p>
            <w:pPr>
              <w:spacing w:after="0"/>
            </w:pPr>
            <w:r>
              <w:rPr>
                <w:rFonts w:ascii="Calibri" w:hAnsi="Calibri"/>
                <w:b/>
                <w:color w:val="0B2545"/>
                <w:sz w:val="16"/>
              </w:rPr>
              <w:t>Misconception</w:t>
            </w:r>
          </w:p>
        </w:tc>
        <w:tc>
          <w:tcPr>
            <w:tcW w:type="dxa" w:w="2800"/>
            <w:vAlign w:val="center"/>
            <w:tcMar>
              <w:top w:w="80" w:type="dxa"/>
              <w:start w:w="120" w:type="dxa"/>
              <w:bottom w:w="80" w:type="dxa"/>
              <w:end w:w="120" w:type="dxa"/>
            </w:tcMar>
            <w:shd w:fill="E8EEF5"/>
          </w:tcPr>
          <w:p>
            <w:pPr>
              <w:spacing w:after="0"/>
            </w:pPr>
            <w:r>
              <w:rPr>
                <w:rFonts w:ascii="Calibri" w:hAnsi="Calibri"/>
                <w:b/>
                <w:color w:val="0B2545"/>
                <w:sz w:val="16"/>
              </w:rPr>
              <w:t>Diagnostic question</w:t>
            </w:r>
          </w:p>
        </w:tc>
        <w:tc>
          <w:tcPr>
            <w:tcW w:type="dxa" w:w="3660"/>
            <w:vAlign w:val="center"/>
            <w:tcMar>
              <w:top w:w="80" w:type="dxa"/>
              <w:start w:w="120" w:type="dxa"/>
              <w:bottom w:w="80" w:type="dxa"/>
              <w:end w:w="120" w:type="dxa"/>
            </w:tcMar>
            <w:shd w:fill="E8EEF5"/>
          </w:tcPr>
          <w:p>
            <w:pPr>
              <w:spacing w:after="0"/>
            </w:pPr>
            <w:r>
              <w:rPr>
                <w:rFonts w:ascii="Calibri" w:hAnsi="Calibri"/>
                <w:b/>
                <w:color w:val="0B2545"/>
                <w:sz w:val="16"/>
              </w:rPr>
              <w:t>Instructor response</w:t>
            </w:r>
          </w:p>
        </w:tc>
      </w:tr>
      <w:tr>
        <w:tc>
          <w:tcPr>
            <w:tcW w:type="dxa" w:w="2900"/>
            <w:vAlign w:val="center"/>
            <w:tcMar>
              <w:top w:w="80" w:type="dxa"/>
              <w:start w:w="120" w:type="dxa"/>
              <w:bottom w:w="80" w:type="dxa"/>
              <w:end w:w="120" w:type="dxa"/>
            </w:tcMar>
          </w:tcPr>
          <w:p>
            <w:pPr>
              <w:spacing w:after="0"/>
            </w:pPr>
            <w:r>
              <w:rPr>
                <w:rFonts w:ascii="Calibri" w:hAnsi="Calibri"/>
                <w:b w:val="0"/>
                <w:color w:val="000000"/>
                <w:sz w:val="16"/>
              </w:rPr>
              <w:t>Net income equals cash generated.</w:t>
            </w:r>
          </w:p>
        </w:tc>
        <w:tc>
          <w:tcPr>
            <w:tcW w:type="dxa" w:w="2800"/>
            <w:vAlign w:val="center"/>
            <w:tcMar>
              <w:top w:w="80" w:type="dxa"/>
              <w:start w:w="120" w:type="dxa"/>
              <w:bottom w:w="80" w:type="dxa"/>
              <w:end w:w="120" w:type="dxa"/>
            </w:tcMar>
          </w:tcPr>
          <w:p>
            <w:pPr>
              <w:spacing w:after="0"/>
            </w:pPr>
            <w:r>
              <w:rPr>
                <w:rFonts w:ascii="Calibri" w:hAnsi="Calibri"/>
                <w:b w:val="0"/>
                <w:color w:val="000000"/>
                <w:sz w:val="16"/>
              </w:rPr>
              <w:t>Where do D&amp;A, CapEx, and working capital enter?</w:t>
            </w:r>
          </w:p>
        </w:tc>
        <w:tc>
          <w:tcPr>
            <w:tcW w:type="dxa" w:w="3660"/>
            <w:vAlign w:val="center"/>
            <w:tcMar>
              <w:top w:w="80" w:type="dxa"/>
              <w:start w:w="120" w:type="dxa"/>
              <w:bottom w:w="80" w:type="dxa"/>
              <w:end w:w="120" w:type="dxa"/>
            </w:tcMar>
          </w:tcPr>
          <w:p>
            <w:pPr>
              <w:spacing w:after="0"/>
            </w:pPr>
            <w:r>
              <w:rPr>
                <w:rFonts w:ascii="Calibri" w:hAnsi="Calibri"/>
                <w:b w:val="0"/>
                <w:color w:val="000000"/>
                <w:sz w:val="16"/>
              </w:rPr>
              <w:t>Contrast accrual earnings with operating and investing cash flows.</w:t>
            </w:r>
          </w:p>
        </w:tc>
      </w:tr>
      <w:tr>
        <w:tc>
          <w:tcPr>
            <w:tcW w:type="dxa" w:w="2900"/>
            <w:shd w:fill="FAFBFC"/>
            <w:vAlign w:val="center"/>
            <w:tcMar>
              <w:top w:w="80" w:type="dxa"/>
              <w:start w:w="120" w:type="dxa"/>
              <w:bottom w:w="80" w:type="dxa"/>
              <w:end w:w="120" w:type="dxa"/>
            </w:tcMar>
          </w:tcPr>
          <w:p>
            <w:pPr>
              <w:spacing w:after="0"/>
            </w:pPr>
            <w:r>
              <w:rPr>
                <w:rFonts w:ascii="Calibri" w:hAnsi="Calibri"/>
                <w:b w:val="0"/>
                <w:color w:val="000000"/>
                <w:sz w:val="16"/>
              </w:rPr>
              <w:t>All FCF definitions should match.</w:t>
            </w:r>
          </w:p>
        </w:tc>
        <w:tc>
          <w:tcPr>
            <w:tcW w:type="dxa" w:w="2800"/>
            <w:shd w:fill="FAFBFC"/>
            <w:vAlign w:val="center"/>
            <w:tcMar>
              <w:top w:w="80" w:type="dxa"/>
              <w:start w:w="120" w:type="dxa"/>
              <w:bottom w:w="80" w:type="dxa"/>
              <w:end w:w="120" w:type="dxa"/>
            </w:tcMar>
          </w:tcPr>
          <w:p>
            <w:pPr>
              <w:spacing w:after="0"/>
            </w:pPr>
            <w:r>
              <w:rPr>
                <w:rFonts w:ascii="Calibri" w:hAnsi="Calibri"/>
                <w:b w:val="0"/>
                <w:color w:val="000000"/>
                <w:sz w:val="16"/>
              </w:rPr>
              <w:t>What is the starting point and definition of each measure?</w:t>
            </w:r>
          </w:p>
        </w:tc>
        <w:tc>
          <w:tcPr>
            <w:tcW w:type="dxa" w:w="3660"/>
            <w:shd w:fill="FAFBFC"/>
            <w:vAlign w:val="center"/>
            <w:tcMar>
              <w:top w:w="80" w:type="dxa"/>
              <w:start w:w="120" w:type="dxa"/>
              <w:bottom w:w="80" w:type="dxa"/>
              <w:end w:w="120" w:type="dxa"/>
            </w:tcMar>
          </w:tcPr>
          <w:p>
            <w:pPr>
              <w:spacing w:after="0"/>
            </w:pPr>
            <w:r>
              <w:rPr>
                <w:rFonts w:ascii="Calibri" w:hAnsi="Calibri"/>
                <w:b w:val="0"/>
                <w:color w:val="000000"/>
                <w:sz w:val="16"/>
              </w:rPr>
              <w:t>Require labels and reconciliation instead of forced equality.</w:t>
            </w:r>
          </w:p>
        </w:tc>
      </w:tr>
      <w:tr>
        <w:tc>
          <w:tcPr>
            <w:tcW w:type="dxa" w:w="2900"/>
            <w:vAlign w:val="center"/>
            <w:tcMar>
              <w:top w:w="80" w:type="dxa"/>
              <w:start w:w="120" w:type="dxa"/>
              <w:bottom w:w="80" w:type="dxa"/>
              <w:end w:w="120" w:type="dxa"/>
            </w:tcMar>
          </w:tcPr>
          <w:p>
            <w:pPr>
              <w:spacing w:after="0"/>
            </w:pPr>
            <w:r>
              <w:rPr>
                <w:rFonts w:ascii="Calibri" w:hAnsi="Calibri"/>
                <w:b w:val="0"/>
                <w:color w:val="000000"/>
                <w:sz w:val="16"/>
              </w:rPr>
              <w:t>Negative NOWC is automatically bad.</w:t>
            </w:r>
          </w:p>
        </w:tc>
        <w:tc>
          <w:tcPr>
            <w:tcW w:type="dxa" w:w="2800"/>
            <w:vAlign w:val="center"/>
            <w:tcMar>
              <w:top w:w="80" w:type="dxa"/>
              <w:start w:w="120" w:type="dxa"/>
              <w:bottom w:w="80" w:type="dxa"/>
              <w:end w:w="120" w:type="dxa"/>
            </w:tcMar>
          </w:tcPr>
          <w:p>
            <w:pPr>
              <w:spacing w:after="0"/>
            </w:pPr>
            <w:r>
              <w:rPr>
                <w:rFonts w:ascii="Calibri" w:hAnsi="Calibri"/>
                <w:b w:val="0"/>
                <w:color w:val="000000"/>
                <w:sz w:val="16"/>
              </w:rPr>
              <w:t>How do supplier terms and customer collection affect NOWC?</w:t>
            </w:r>
          </w:p>
        </w:tc>
        <w:tc>
          <w:tcPr>
            <w:tcW w:type="dxa" w:w="3660"/>
            <w:vAlign w:val="center"/>
            <w:tcMar>
              <w:top w:w="80" w:type="dxa"/>
              <w:start w:w="120" w:type="dxa"/>
              <w:bottom w:w="80" w:type="dxa"/>
              <w:end w:w="120" w:type="dxa"/>
            </w:tcMar>
          </w:tcPr>
          <w:p>
            <w:pPr>
              <w:spacing w:after="0"/>
            </w:pPr>
            <w:r>
              <w:rPr>
                <w:rFonts w:ascii="Calibri" w:hAnsi="Calibri"/>
                <w:b w:val="0"/>
                <w:color w:val="000000"/>
                <w:sz w:val="16"/>
              </w:rPr>
              <w:t>Focus on business model and change, not sign alone.</w:t>
            </w:r>
          </w:p>
        </w:tc>
      </w:tr>
      <w:tr>
        <w:tc>
          <w:tcPr>
            <w:tcW w:type="dxa" w:w="2900"/>
            <w:shd w:fill="FAFBFC"/>
            <w:vAlign w:val="center"/>
            <w:tcMar>
              <w:top w:w="80" w:type="dxa"/>
              <w:start w:w="120" w:type="dxa"/>
              <w:bottom w:w="80" w:type="dxa"/>
              <w:end w:w="120" w:type="dxa"/>
            </w:tcMar>
          </w:tcPr>
          <w:p>
            <w:pPr>
              <w:spacing w:after="0"/>
            </w:pPr>
            <w:r>
              <w:rPr>
                <w:rFonts w:ascii="Calibri" w:hAnsi="Calibri"/>
                <w:b w:val="0"/>
                <w:color w:val="000000"/>
                <w:sz w:val="16"/>
              </w:rPr>
              <w:t>Five years means five CAGR periods.</w:t>
            </w:r>
          </w:p>
        </w:tc>
        <w:tc>
          <w:tcPr>
            <w:tcW w:type="dxa" w:w="2800"/>
            <w:shd w:fill="FAFBFC"/>
            <w:vAlign w:val="center"/>
            <w:tcMar>
              <w:top w:w="80" w:type="dxa"/>
              <w:start w:w="120" w:type="dxa"/>
              <w:bottom w:w="80" w:type="dxa"/>
              <w:end w:w="120" w:type="dxa"/>
            </w:tcMar>
          </w:tcPr>
          <w:p>
            <w:pPr>
              <w:spacing w:after="0"/>
            </w:pPr>
            <w:r>
              <w:rPr>
                <w:rFonts w:ascii="Calibri" w:hAnsi="Calibri"/>
                <w:b w:val="0"/>
                <w:color w:val="000000"/>
                <w:sz w:val="16"/>
              </w:rPr>
              <w:t>How many spaces are between FY2021 and FY2025?</w:t>
            </w:r>
          </w:p>
        </w:tc>
        <w:tc>
          <w:tcPr>
            <w:tcW w:type="dxa" w:w="3660"/>
            <w:shd w:fill="FAFBFC"/>
            <w:vAlign w:val="center"/>
            <w:tcMar>
              <w:top w:w="80" w:type="dxa"/>
              <w:start w:w="120" w:type="dxa"/>
              <w:bottom w:w="80" w:type="dxa"/>
              <w:end w:w="120" w:type="dxa"/>
            </w:tcMar>
          </w:tcPr>
          <w:p>
            <w:pPr>
              <w:spacing w:after="0"/>
            </w:pPr>
            <w:r>
              <w:rPr>
                <w:rFonts w:ascii="Calibri" w:hAnsi="Calibri"/>
                <w:b w:val="0"/>
                <w:color w:val="000000"/>
                <w:sz w:val="16"/>
              </w:rPr>
              <w:t>Count four compounding intervals.</w:t>
            </w:r>
          </w:p>
        </w:tc>
      </w:tr>
      <w:tr>
        <w:tc>
          <w:tcPr>
            <w:tcW w:type="dxa" w:w="2900"/>
            <w:vAlign w:val="center"/>
            <w:tcMar>
              <w:top w:w="80" w:type="dxa"/>
              <w:start w:w="120" w:type="dxa"/>
              <w:bottom w:w="80" w:type="dxa"/>
              <w:end w:w="120" w:type="dxa"/>
            </w:tcMar>
          </w:tcPr>
          <w:p>
            <w:pPr>
              <w:spacing w:after="0"/>
            </w:pPr>
            <w:r>
              <w:rPr>
                <w:rFonts w:ascii="Calibri" w:hAnsi="Calibri"/>
                <w:b w:val="0"/>
                <w:color w:val="000000"/>
                <w:sz w:val="16"/>
              </w:rPr>
              <w:t>High ROE always means excellent operations.</w:t>
            </w:r>
          </w:p>
        </w:tc>
        <w:tc>
          <w:tcPr>
            <w:tcW w:type="dxa" w:w="2800"/>
            <w:vAlign w:val="center"/>
            <w:tcMar>
              <w:top w:w="80" w:type="dxa"/>
              <w:start w:w="120" w:type="dxa"/>
              <w:bottom w:w="80" w:type="dxa"/>
              <w:end w:w="120" w:type="dxa"/>
            </w:tcMar>
          </w:tcPr>
          <w:p>
            <w:pPr>
              <w:spacing w:after="0"/>
            </w:pPr>
            <w:r>
              <w:rPr>
                <w:rFonts w:ascii="Calibri" w:hAnsi="Calibri"/>
                <w:b w:val="0"/>
                <w:color w:val="000000"/>
                <w:sz w:val="16"/>
              </w:rPr>
              <w:t>What happens when the equity multiplier rises?</w:t>
            </w:r>
          </w:p>
        </w:tc>
        <w:tc>
          <w:tcPr>
            <w:tcW w:type="dxa" w:w="3660"/>
            <w:vAlign w:val="center"/>
            <w:tcMar>
              <w:top w:w="80" w:type="dxa"/>
              <w:start w:w="120" w:type="dxa"/>
              <w:bottom w:w="80" w:type="dxa"/>
              <w:end w:w="120" w:type="dxa"/>
            </w:tcMar>
          </w:tcPr>
          <w:p>
            <w:pPr>
              <w:spacing w:after="0"/>
            </w:pPr>
            <w:r>
              <w:rPr>
                <w:rFonts w:ascii="Calibri" w:hAnsi="Calibri"/>
                <w:b w:val="0"/>
                <w:color w:val="000000"/>
                <w:sz w:val="16"/>
              </w:rPr>
              <w:t>Separate profitability, efficiency, and leverage.</w:t>
            </w:r>
          </w:p>
        </w:tc>
      </w:tr>
      <w:tr>
        <w:tc>
          <w:tcPr>
            <w:tcW w:type="dxa" w:w="2900"/>
            <w:shd w:fill="FAFBFC"/>
            <w:vAlign w:val="center"/>
            <w:tcMar>
              <w:top w:w="80" w:type="dxa"/>
              <w:start w:w="120" w:type="dxa"/>
              <w:bottom w:w="80" w:type="dxa"/>
              <w:end w:w="120" w:type="dxa"/>
            </w:tcMar>
          </w:tcPr>
          <w:p>
            <w:pPr>
              <w:spacing w:after="0"/>
            </w:pPr>
            <w:r>
              <w:rPr>
                <w:rFonts w:ascii="Calibri" w:hAnsi="Calibri"/>
                <w:b w:val="0"/>
                <w:color w:val="000000"/>
                <w:sz w:val="16"/>
              </w:rPr>
              <w:t>A PASS cell proves correctness.</w:t>
            </w:r>
          </w:p>
        </w:tc>
        <w:tc>
          <w:tcPr>
            <w:tcW w:type="dxa" w:w="2800"/>
            <w:shd w:fill="FAFBFC"/>
            <w:vAlign w:val="center"/>
            <w:tcMar>
              <w:top w:w="80" w:type="dxa"/>
              <w:start w:w="120" w:type="dxa"/>
              <w:bottom w:w="80" w:type="dxa"/>
              <w:end w:w="120" w:type="dxa"/>
            </w:tcMar>
          </w:tcPr>
          <w:p>
            <w:pPr>
              <w:spacing w:after="0"/>
            </w:pPr>
            <w:r>
              <w:rPr>
                <w:rFonts w:ascii="Calibri" w:hAnsi="Calibri"/>
                <w:b w:val="0"/>
                <w:color w:val="000000"/>
                <w:sz w:val="16"/>
              </w:rPr>
              <w:t>Who verified the expected value and formula?</w:t>
            </w:r>
          </w:p>
        </w:tc>
        <w:tc>
          <w:tcPr>
            <w:tcW w:type="dxa" w:w="3660"/>
            <w:shd w:fill="FAFBFC"/>
            <w:vAlign w:val="center"/>
            <w:tcMar>
              <w:top w:w="80" w:type="dxa"/>
              <w:start w:w="120" w:type="dxa"/>
              <w:bottom w:w="80" w:type="dxa"/>
              <w:end w:w="120" w:type="dxa"/>
            </w:tcMar>
          </w:tcPr>
          <w:p>
            <w:pPr>
              <w:spacing w:after="0"/>
            </w:pPr>
            <w:r>
              <w:rPr>
                <w:rFonts w:ascii="Calibri" w:hAnsi="Calibri"/>
                <w:b w:val="0"/>
                <w:color w:val="000000"/>
                <w:sz w:val="16"/>
              </w:rPr>
              <w:t>A check is only as good as its independent construction.</w:t>
            </w:r>
          </w:p>
        </w:tc>
      </w:tr>
      <w:tr>
        <w:tc>
          <w:tcPr>
            <w:tcW w:type="dxa" w:w="2900"/>
            <w:vAlign w:val="center"/>
            <w:tcMar>
              <w:top w:w="80" w:type="dxa"/>
              <w:start w:w="120" w:type="dxa"/>
              <w:bottom w:w="80" w:type="dxa"/>
              <w:end w:w="120" w:type="dxa"/>
            </w:tcMar>
          </w:tcPr>
          <w:p>
            <w:pPr>
              <w:spacing w:after="0"/>
            </w:pPr>
            <w:r>
              <w:rPr>
                <w:rFonts w:ascii="Calibri" w:hAnsi="Calibri"/>
                <w:b w:val="0"/>
                <w:color w:val="000000"/>
                <w:sz w:val="16"/>
              </w:rPr>
              <w:t>AI-generated code is self-explanatory.</w:t>
            </w:r>
          </w:p>
        </w:tc>
        <w:tc>
          <w:tcPr>
            <w:tcW w:type="dxa" w:w="2800"/>
            <w:vAlign w:val="center"/>
            <w:tcMar>
              <w:top w:w="80" w:type="dxa"/>
              <w:start w:w="120" w:type="dxa"/>
              <w:bottom w:w="80" w:type="dxa"/>
              <w:end w:w="120" w:type="dxa"/>
            </w:tcMar>
          </w:tcPr>
          <w:p>
            <w:pPr>
              <w:spacing w:after="0"/>
            </w:pPr>
            <w:r>
              <w:rPr>
                <w:rFonts w:ascii="Calibri" w:hAnsi="Calibri"/>
                <w:b w:val="0"/>
                <w:color w:val="000000"/>
                <w:sz w:val="16"/>
              </w:rPr>
              <w:t>Can you trace one label to the workbook?</w:t>
            </w:r>
          </w:p>
        </w:tc>
        <w:tc>
          <w:tcPr>
            <w:tcW w:type="dxa" w:w="3660"/>
            <w:vAlign w:val="center"/>
            <w:tcMar>
              <w:top w:w="80" w:type="dxa"/>
              <w:start w:w="120" w:type="dxa"/>
              <w:bottom w:w="80" w:type="dxa"/>
              <w:end w:w="120" w:type="dxa"/>
            </w:tcMar>
          </w:tcPr>
          <w:p>
            <w:pPr>
              <w:spacing w:after="0"/>
            </w:pPr>
            <w:r>
              <w:rPr>
                <w:rFonts w:ascii="Calibri" w:hAnsi="Calibri"/>
                <w:b w:val="0"/>
                <w:color w:val="000000"/>
                <w:sz w:val="16"/>
              </w:rPr>
              <w:t>Require code annotation and oral explanation.</w:t>
            </w:r>
          </w:p>
        </w:tc>
      </w:tr>
      <w:tr>
        <w:tc>
          <w:tcPr>
            <w:tcW w:type="dxa" w:w="2900"/>
            <w:shd w:fill="FAFBFC"/>
            <w:vAlign w:val="center"/>
            <w:tcMar>
              <w:top w:w="80" w:type="dxa"/>
              <w:start w:w="120" w:type="dxa"/>
              <w:bottom w:w="80" w:type="dxa"/>
              <w:end w:w="120" w:type="dxa"/>
            </w:tcMar>
          </w:tcPr>
          <w:p>
            <w:pPr>
              <w:spacing w:after="0"/>
            </w:pPr>
            <w:r>
              <w:rPr>
                <w:rFonts w:ascii="Calibri" w:hAnsi="Calibri"/>
                <w:b w:val="0"/>
                <w:color w:val="000000"/>
                <w:sz w:val="16"/>
              </w:rPr>
              <w:t>A beautiful chart is a truthful chart.</w:t>
            </w:r>
          </w:p>
        </w:tc>
        <w:tc>
          <w:tcPr>
            <w:tcW w:type="dxa" w:w="2800"/>
            <w:shd w:fill="FAFBFC"/>
            <w:vAlign w:val="center"/>
            <w:tcMar>
              <w:top w:w="80" w:type="dxa"/>
              <w:start w:w="120" w:type="dxa"/>
              <w:bottom w:w="80" w:type="dxa"/>
              <w:end w:w="120" w:type="dxa"/>
            </w:tcMar>
          </w:tcPr>
          <w:p>
            <w:pPr>
              <w:spacing w:after="0"/>
            </w:pPr>
            <w:r>
              <w:rPr>
                <w:rFonts w:ascii="Calibri" w:hAnsi="Calibri"/>
                <w:b w:val="0"/>
                <w:color w:val="000000"/>
                <w:sz w:val="16"/>
              </w:rPr>
              <w:t>Could axis or width choices mislead?</w:t>
            </w:r>
          </w:p>
        </w:tc>
        <w:tc>
          <w:tcPr>
            <w:tcW w:type="dxa" w:w="3660"/>
            <w:shd w:fill="FAFBFC"/>
            <w:vAlign w:val="center"/>
            <w:tcMar>
              <w:top w:w="80" w:type="dxa"/>
              <w:start w:w="120" w:type="dxa"/>
              <w:bottom w:w="80" w:type="dxa"/>
              <w:end w:w="120" w:type="dxa"/>
            </w:tcMar>
          </w:tcPr>
          <w:p>
            <w:pPr>
              <w:spacing w:after="0"/>
            </w:pPr>
            <w:r>
              <w:rPr>
                <w:rFonts w:ascii="Calibri" w:hAnsi="Calibri"/>
                <w:b w:val="0"/>
                <w:color w:val="000000"/>
                <w:sz w:val="16"/>
              </w:rPr>
              <w:t>Audit visual encoding separately from numerical accuracy.</w:t>
            </w:r>
          </w:p>
        </w:tc>
      </w:tr>
    </w:tbl>
    <w:p>
      <w:pPr>
        <w:spacing w:after="0"/>
      </w:pPr>
    </w:p>
    <w:p>
      <w:r>
        <w:br w:type="page"/>
      </w:r>
    </w:p>
    <w:p>
      <w:pPr>
        <w:pStyle w:val="Heading1"/>
      </w:pPr>
      <w:r>
        <w:t>10. Technical Troubleshooting</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2100"/>
        <w:gridCol w:w="3500"/>
        <w:gridCol w:w="3760"/>
      </w:tblGrid>
      <w:tr>
        <w:trPr>
          <w:tblHeader w:val="true"/>
        </w:trPr>
        <w:tc>
          <w:tcPr>
            <w:tcW w:type="dxa" w:w="2100"/>
            <w:vAlign w:val="center"/>
            <w:tcMar>
              <w:top w:w="80" w:type="dxa"/>
              <w:start w:w="120" w:type="dxa"/>
              <w:bottom w:w="80" w:type="dxa"/>
              <w:end w:w="120" w:type="dxa"/>
            </w:tcMar>
            <w:shd w:fill="E8EEF5"/>
          </w:tcPr>
          <w:p>
            <w:pPr>
              <w:spacing w:after="0"/>
            </w:pPr>
            <w:r>
              <w:rPr>
                <w:rFonts w:ascii="Calibri" w:hAnsi="Calibri"/>
                <w:b/>
                <w:color w:val="0B2545"/>
                <w:sz w:val="16"/>
              </w:rPr>
              <w:t>Symptom</w:t>
            </w:r>
          </w:p>
        </w:tc>
        <w:tc>
          <w:tcPr>
            <w:tcW w:type="dxa" w:w="3500"/>
            <w:vAlign w:val="center"/>
            <w:tcMar>
              <w:top w:w="80" w:type="dxa"/>
              <w:start w:w="120" w:type="dxa"/>
              <w:bottom w:w="80" w:type="dxa"/>
              <w:end w:w="120" w:type="dxa"/>
            </w:tcMar>
            <w:shd w:fill="E8EEF5"/>
          </w:tcPr>
          <w:p>
            <w:pPr>
              <w:spacing w:after="0"/>
            </w:pPr>
            <w:r>
              <w:rPr>
                <w:rFonts w:ascii="Calibri" w:hAnsi="Calibri"/>
                <w:b/>
                <w:color w:val="0B2545"/>
                <w:sz w:val="16"/>
              </w:rPr>
              <w:t>Likely cause</w:t>
            </w:r>
          </w:p>
        </w:tc>
        <w:tc>
          <w:tcPr>
            <w:tcW w:type="dxa" w:w="3760"/>
            <w:vAlign w:val="center"/>
            <w:tcMar>
              <w:top w:w="80" w:type="dxa"/>
              <w:start w:w="120" w:type="dxa"/>
              <w:bottom w:w="80" w:type="dxa"/>
              <w:end w:w="120" w:type="dxa"/>
            </w:tcMar>
            <w:shd w:fill="E8EEF5"/>
          </w:tcPr>
          <w:p>
            <w:pPr>
              <w:spacing w:after="0"/>
            </w:pPr>
            <w:r>
              <w:rPr>
                <w:rFonts w:ascii="Calibri" w:hAnsi="Calibri"/>
                <w:b/>
                <w:color w:val="0B2545"/>
                <w:sz w:val="16"/>
              </w:rPr>
              <w:t>Resolution</w:t>
            </w:r>
          </w:p>
        </w:tc>
      </w:tr>
      <w:tr>
        <w:tc>
          <w:tcPr>
            <w:tcW w:type="dxa" w:w="2100"/>
            <w:vAlign w:val="center"/>
            <w:tcMar>
              <w:top w:w="80" w:type="dxa"/>
              <w:start w:w="120" w:type="dxa"/>
              <w:bottom w:w="80" w:type="dxa"/>
              <w:end w:w="120" w:type="dxa"/>
            </w:tcMar>
          </w:tcPr>
          <w:p>
            <w:pPr>
              <w:spacing w:after="0"/>
            </w:pPr>
            <w:r>
              <w:rPr>
                <w:rFonts w:ascii="Calibri" w:hAnsi="Calibri"/>
                <w:b w:val="0"/>
                <w:color w:val="000000"/>
                <w:sz w:val="16"/>
              </w:rPr>
              <w:t>ModuleNotFoundError</w:t>
            </w:r>
          </w:p>
        </w:tc>
        <w:tc>
          <w:tcPr>
            <w:tcW w:type="dxa" w:w="3500"/>
            <w:vAlign w:val="center"/>
            <w:tcMar>
              <w:top w:w="80" w:type="dxa"/>
              <w:start w:w="120" w:type="dxa"/>
              <w:bottom w:w="80" w:type="dxa"/>
              <w:end w:w="120" w:type="dxa"/>
            </w:tcMar>
          </w:tcPr>
          <w:p>
            <w:pPr>
              <w:spacing w:after="0"/>
            </w:pPr>
            <w:r>
              <w:rPr>
                <w:rFonts w:ascii="Calibri" w:hAnsi="Calibri"/>
                <w:b w:val="0"/>
                <w:color w:val="000000"/>
                <w:sz w:val="16"/>
              </w:rPr>
              <w:t>Packages not installed in the active Python environment.</w:t>
            </w:r>
          </w:p>
        </w:tc>
        <w:tc>
          <w:tcPr>
            <w:tcW w:type="dxa" w:w="3760"/>
            <w:vAlign w:val="center"/>
            <w:tcMar>
              <w:top w:w="80" w:type="dxa"/>
              <w:start w:w="120" w:type="dxa"/>
              <w:bottom w:w="80" w:type="dxa"/>
              <w:end w:w="120" w:type="dxa"/>
            </w:tcMar>
          </w:tcPr>
          <w:p>
            <w:pPr>
              <w:spacing w:after="0"/>
            </w:pPr>
            <w:r>
              <w:rPr>
                <w:rFonts w:ascii="Calibri" w:hAnsi="Calibri"/>
                <w:b w:val="0"/>
                <w:color w:val="000000"/>
                <w:sz w:val="16"/>
              </w:rPr>
              <w:t>Run python -m pip install -r requirements.txt using the same python command used to run the script.</w:t>
            </w:r>
          </w:p>
        </w:tc>
      </w:tr>
      <w:tr>
        <w:tc>
          <w:tcPr>
            <w:tcW w:type="dxa" w:w="2100"/>
            <w:shd w:fill="FAFBFC"/>
            <w:vAlign w:val="center"/>
            <w:tcMar>
              <w:top w:w="80" w:type="dxa"/>
              <w:start w:w="120" w:type="dxa"/>
              <w:bottom w:w="80" w:type="dxa"/>
              <w:end w:w="120" w:type="dxa"/>
            </w:tcMar>
          </w:tcPr>
          <w:p>
            <w:pPr>
              <w:spacing w:after="0"/>
            </w:pPr>
            <w:r>
              <w:rPr>
                <w:rFonts w:ascii="Calibri" w:hAnsi="Calibri"/>
                <w:b w:val="0"/>
                <w:color w:val="000000"/>
                <w:sz w:val="16"/>
              </w:rPr>
              <w:t>Workbook not found</w:t>
            </w:r>
          </w:p>
        </w:tc>
        <w:tc>
          <w:tcPr>
            <w:tcW w:type="dxa" w:w="3500"/>
            <w:shd w:fill="FAFBFC"/>
            <w:vAlign w:val="center"/>
            <w:tcMar>
              <w:top w:w="80" w:type="dxa"/>
              <w:start w:w="120" w:type="dxa"/>
              <w:bottom w:w="80" w:type="dxa"/>
              <w:end w:w="120" w:type="dxa"/>
            </w:tcMar>
          </w:tcPr>
          <w:p>
            <w:pPr>
              <w:spacing w:after="0"/>
            </w:pPr>
            <w:r>
              <w:rPr>
                <w:rFonts w:ascii="Calibri" w:hAnsi="Calibri"/>
                <w:b w:val="0"/>
                <w:color w:val="000000"/>
                <w:sz w:val="16"/>
              </w:rPr>
              <w:t>Personal absolute path or wrong working folder.</w:t>
            </w:r>
          </w:p>
        </w:tc>
        <w:tc>
          <w:tcPr>
            <w:tcW w:type="dxa" w:w="3760"/>
            <w:shd w:fill="FAFBFC"/>
            <w:vAlign w:val="center"/>
            <w:tcMar>
              <w:top w:w="80" w:type="dxa"/>
              <w:start w:w="120" w:type="dxa"/>
              <w:bottom w:w="80" w:type="dxa"/>
              <w:end w:w="120" w:type="dxa"/>
            </w:tcMar>
          </w:tcPr>
          <w:p>
            <w:pPr>
              <w:spacing w:after="0"/>
            </w:pPr>
            <w:r>
              <w:rPr>
                <w:rFonts w:ascii="Calibri" w:hAnsi="Calibri"/>
                <w:b w:val="0"/>
                <w:color w:val="000000"/>
                <w:sz w:val="16"/>
              </w:rPr>
              <w:t>Use relative paths/arguments and run from the submission folder.</w:t>
            </w:r>
          </w:p>
        </w:tc>
      </w:tr>
      <w:tr>
        <w:tc>
          <w:tcPr>
            <w:tcW w:type="dxa" w:w="2100"/>
            <w:vAlign w:val="center"/>
            <w:tcMar>
              <w:top w:w="80" w:type="dxa"/>
              <w:start w:w="120" w:type="dxa"/>
              <w:bottom w:w="80" w:type="dxa"/>
              <w:end w:w="120" w:type="dxa"/>
            </w:tcMar>
          </w:tcPr>
          <w:p>
            <w:pPr>
              <w:spacing w:after="0"/>
            </w:pPr>
            <w:r>
              <w:rPr>
                <w:rFonts w:ascii="Calibri" w:hAnsi="Calibri"/>
                <w:b w:val="0"/>
                <w:color w:val="000000"/>
                <w:sz w:val="16"/>
              </w:rPr>
              <w:t>Missing expected columns</w:t>
            </w:r>
          </w:p>
        </w:tc>
        <w:tc>
          <w:tcPr>
            <w:tcW w:type="dxa" w:w="3500"/>
            <w:vAlign w:val="center"/>
            <w:tcMar>
              <w:top w:w="80" w:type="dxa"/>
              <w:start w:w="120" w:type="dxa"/>
              <w:bottom w:w="80" w:type="dxa"/>
              <w:end w:w="120" w:type="dxa"/>
            </w:tcMar>
          </w:tcPr>
          <w:p>
            <w:pPr>
              <w:spacing w:after="0"/>
            </w:pPr>
            <w:r>
              <w:rPr>
                <w:rFonts w:ascii="Calibri" w:hAnsi="Calibri"/>
                <w:b w:val="0"/>
                <w:color w:val="000000"/>
                <w:sz w:val="16"/>
              </w:rPr>
              <w:t>Wrong header row, renamed sheet, or edited headers.</w:t>
            </w:r>
          </w:p>
        </w:tc>
        <w:tc>
          <w:tcPr>
            <w:tcW w:type="dxa" w:w="3760"/>
            <w:vAlign w:val="center"/>
            <w:tcMar>
              <w:top w:w="80" w:type="dxa"/>
              <w:start w:w="120" w:type="dxa"/>
              <w:bottom w:w="80" w:type="dxa"/>
              <w:end w:w="120" w:type="dxa"/>
            </w:tcMar>
          </w:tcPr>
          <w:p>
            <w:pPr>
              <w:spacing w:after="0"/>
            </w:pPr>
            <w:r>
              <w:rPr>
                <w:rFonts w:ascii="Calibri" w:hAnsi="Calibri"/>
                <w:b w:val="0"/>
                <w:color w:val="000000"/>
                <w:sz w:val="16"/>
              </w:rPr>
              <w:t>Restore 01_Input structure and read with header=4.</w:t>
            </w:r>
          </w:p>
        </w:tc>
      </w:tr>
      <w:tr>
        <w:tc>
          <w:tcPr>
            <w:tcW w:type="dxa" w:w="2100"/>
            <w:shd w:fill="FAFBFC"/>
            <w:vAlign w:val="center"/>
            <w:tcMar>
              <w:top w:w="80" w:type="dxa"/>
              <w:start w:w="120" w:type="dxa"/>
              <w:bottom w:w="80" w:type="dxa"/>
              <w:end w:w="120" w:type="dxa"/>
            </w:tcMar>
          </w:tcPr>
          <w:p>
            <w:pPr>
              <w:spacing w:after="0"/>
            </w:pPr>
            <w:r>
              <w:rPr>
                <w:rFonts w:ascii="Calibri" w:hAnsi="Calibri"/>
                <w:b w:val="0"/>
                <w:color w:val="000000"/>
                <w:sz w:val="16"/>
              </w:rPr>
              <w:t>Missing metric/year</w:t>
            </w:r>
          </w:p>
        </w:tc>
        <w:tc>
          <w:tcPr>
            <w:tcW w:type="dxa" w:w="3500"/>
            <w:shd w:fill="FAFBFC"/>
            <w:vAlign w:val="center"/>
            <w:tcMar>
              <w:top w:w="80" w:type="dxa"/>
              <w:start w:w="120" w:type="dxa"/>
              <w:bottom w:w="80" w:type="dxa"/>
              <w:end w:w="120" w:type="dxa"/>
            </w:tcMar>
          </w:tcPr>
          <w:p>
            <w:pPr>
              <w:spacing w:after="0"/>
            </w:pPr>
            <w:r>
              <w:rPr>
                <w:rFonts w:ascii="Calibri" w:hAnsi="Calibri"/>
                <w:b w:val="0"/>
                <w:color w:val="000000"/>
                <w:sz w:val="16"/>
              </w:rPr>
              <w:t>Blank or renamed Metric_ID or wrong year.</w:t>
            </w:r>
          </w:p>
        </w:tc>
        <w:tc>
          <w:tcPr>
            <w:tcW w:type="dxa" w:w="3760"/>
            <w:shd w:fill="FAFBFC"/>
            <w:vAlign w:val="center"/>
            <w:tcMar>
              <w:top w:w="80" w:type="dxa"/>
              <w:start w:w="120" w:type="dxa"/>
              <w:bottom w:w="80" w:type="dxa"/>
              <w:end w:w="120" w:type="dxa"/>
            </w:tcMar>
          </w:tcPr>
          <w:p>
            <w:pPr>
              <w:spacing w:after="0"/>
            </w:pPr>
            <w:r>
              <w:rPr>
                <w:rFonts w:ascii="Calibri" w:hAnsi="Calibri"/>
                <w:b w:val="0"/>
                <w:color w:val="000000"/>
                <w:sz w:val="16"/>
              </w:rPr>
              <w:t>Validate the exact ID and fiscal-year column; do not replace with zero.</w:t>
            </w:r>
          </w:p>
        </w:tc>
      </w:tr>
      <w:tr>
        <w:tc>
          <w:tcPr>
            <w:tcW w:type="dxa" w:w="2100"/>
            <w:vAlign w:val="center"/>
            <w:tcMar>
              <w:top w:w="80" w:type="dxa"/>
              <w:start w:w="120" w:type="dxa"/>
              <w:bottom w:w="80" w:type="dxa"/>
              <w:end w:w="120" w:type="dxa"/>
            </w:tcMar>
          </w:tcPr>
          <w:p>
            <w:pPr>
              <w:spacing w:after="0"/>
            </w:pPr>
            <w:r>
              <w:rPr>
                <w:rFonts w:ascii="Calibri" w:hAnsi="Calibri"/>
                <w:b w:val="0"/>
                <w:color w:val="000000"/>
                <w:sz w:val="16"/>
              </w:rPr>
              <w:t>FCF is too high</w:t>
            </w:r>
          </w:p>
        </w:tc>
        <w:tc>
          <w:tcPr>
            <w:tcW w:type="dxa" w:w="3500"/>
            <w:vAlign w:val="center"/>
            <w:tcMar>
              <w:top w:w="80" w:type="dxa"/>
              <w:start w:w="120" w:type="dxa"/>
              <w:bottom w:w="80" w:type="dxa"/>
              <w:end w:w="120" w:type="dxa"/>
            </w:tcMar>
          </w:tcPr>
          <w:p>
            <w:pPr>
              <w:spacing w:after="0"/>
            </w:pPr>
            <w:r>
              <w:rPr>
                <w:rFonts w:ascii="Calibri" w:hAnsi="Calibri"/>
                <w:b w:val="0"/>
                <w:color w:val="000000"/>
                <w:sz w:val="16"/>
              </w:rPr>
              <w:t>Negative CapEx subtracted twice.</w:t>
            </w:r>
          </w:p>
        </w:tc>
        <w:tc>
          <w:tcPr>
            <w:tcW w:type="dxa" w:w="3760"/>
            <w:vAlign w:val="center"/>
            <w:tcMar>
              <w:top w:w="80" w:type="dxa"/>
              <w:start w:w="120" w:type="dxa"/>
              <w:bottom w:w="80" w:type="dxa"/>
              <w:end w:w="120" w:type="dxa"/>
            </w:tcMar>
          </w:tcPr>
          <w:p>
            <w:pPr>
              <w:spacing w:after="0"/>
            </w:pPr>
            <w:r>
              <w:rPr>
                <w:rFonts w:ascii="Calibri" w:hAnsi="Calibri"/>
                <w:b w:val="0"/>
                <w:color w:val="000000"/>
                <w:sz w:val="16"/>
              </w:rPr>
              <w:t>Use one documented sign convention.</w:t>
            </w:r>
          </w:p>
        </w:tc>
      </w:tr>
      <w:tr>
        <w:tc>
          <w:tcPr>
            <w:tcW w:type="dxa" w:w="2100"/>
            <w:shd w:fill="FAFBFC"/>
            <w:vAlign w:val="center"/>
            <w:tcMar>
              <w:top w:w="80" w:type="dxa"/>
              <w:start w:w="120" w:type="dxa"/>
              <w:bottom w:w="80" w:type="dxa"/>
              <w:end w:w="120" w:type="dxa"/>
            </w:tcMar>
          </w:tcPr>
          <w:p>
            <w:pPr>
              <w:spacing w:after="0"/>
            </w:pPr>
            <w:r>
              <w:rPr>
                <w:rFonts w:ascii="Calibri" w:hAnsi="Calibri"/>
                <w:b w:val="0"/>
                <w:color w:val="000000"/>
                <w:sz w:val="16"/>
              </w:rPr>
              <w:t>DuPont does not equal direct ROE</w:t>
            </w:r>
          </w:p>
        </w:tc>
        <w:tc>
          <w:tcPr>
            <w:tcW w:type="dxa" w:w="3500"/>
            <w:shd w:fill="FAFBFC"/>
            <w:vAlign w:val="center"/>
            <w:tcMar>
              <w:top w:w="80" w:type="dxa"/>
              <w:start w:w="120" w:type="dxa"/>
              <w:bottom w:w="80" w:type="dxa"/>
              <w:end w:w="120" w:type="dxa"/>
            </w:tcMar>
          </w:tcPr>
          <w:p>
            <w:pPr>
              <w:spacing w:after="0"/>
            </w:pPr>
            <w:r>
              <w:rPr>
                <w:rFonts w:ascii="Calibri" w:hAnsi="Calibri"/>
                <w:b w:val="0"/>
                <w:color w:val="000000"/>
                <w:sz w:val="16"/>
              </w:rPr>
              <w:t>Mixed net income/equity definitions or ending balances.</w:t>
            </w:r>
          </w:p>
        </w:tc>
        <w:tc>
          <w:tcPr>
            <w:tcW w:type="dxa" w:w="3760"/>
            <w:shd w:fill="FAFBFC"/>
            <w:vAlign w:val="center"/>
            <w:tcMar>
              <w:top w:w="80" w:type="dxa"/>
              <w:start w:w="120" w:type="dxa"/>
              <w:bottom w:w="80" w:type="dxa"/>
              <w:end w:w="120" w:type="dxa"/>
            </w:tcMar>
          </w:tcPr>
          <w:p>
            <w:pPr>
              <w:spacing w:after="0"/>
            </w:pPr>
            <w:r>
              <w:rPr>
                <w:rFonts w:ascii="Calibri" w:hAnsi="Calibri"/>
                <w:b w:val="0"/>
                <w:color w:val="000000"/>
                <w:sz w:val="16"/>
              </w:rPr>
              <w:t>Use consolidated earnings and average total equity consistently.</w:t>
            </w:r>
          </w:p>
        </w:tc>
      </w:tr>
      <w:tr>
        <w:tc>
          <w:tcPr>
            <w:tcW w:type="dxa" w:w="2100"/>
            <w:vAlign w:val="center"/>
            <w:tcMar>
              <w:top w:w="80" w:type="dxa"/>
              <w:start w:w="120" w:type="dxa"/>
              <w:bottom w:w="80" w:type="dxa"/>
              <w:end w:w="120" w:type="dxa"/>
            </w:tcMar>
          </w:tcPr>
          <w:p>
            <w:pPr>
              <w:spacing w:after="0"/>
            </w:pPr>
            <w:r>
              <w:rPr>
                <w:rFonts w:ascii="Calibri" w:hAnsi="Calibri"/>
                <w:b w:val="0"/>
                <w:color w:val="000000"/>
                <w:sz w:val="16"/>
              </w:rPr>
              <w:t>Chart saves but labels are wrong</w:t>
            </w:r>
          </w:p>
        </w:tc>
        <w:tc>
          <w:tcPr>
            <w:tcW w:type="dxa" w:w="3500"/>
            <w:vAlign w:val="center"/>
            <w:tcMar>
              <w:top w:w="80" w:type="dxa"/>
              <w:start w:w="120" w:type="dxa"/>
              <w:bottom w:w="80" w:type="dxa"/>
              <w:end w:w="120" w:type="dxa"/>
            </w:tcMar>
          </w:tcPr>
          <w:p>
            <w:pPr>
              <w:spacing w:after="0"/>
            </w:pPr>
            <w:r>
              <w:rPr>
                <w:rFonts w:ascii="Calibri" w:hAnsi="Calibri"/>
                <w:b w:val="0"/>
                <w:color w:val="000000"/>
                <w:sz w:val="16"/>
              </w:rPr>
              <w:t>Hard-coded label text or units.</w:t>
            </w:r>
          </w:p>
        </w:tc>
        <w:tc>
          <w:tcPr>
            <w:tcW w:type="dxa" w:w="3760"/>
            <w:vAlign w:val="center"/>
            <w:tcMar>
              <w:top w:w="80" w:type="dxa"/>
              <w:start w:w="120" w:type="dxa"/>
              <w:bottom w:w="80" w:type="dxa"/>
              <w:end w:w="120" w:type="dxa"/>
            </w:tcMar>
          </w:tcPr>
          <w:p>
            <w:pPr>
              <w:spacing w:after="0"/>
            </w:pPr>
            <w:r>
              <w:rPr>
                <w:rFonts w:ascii="Calibri" w:hAnsi="Calibri"/>
                <w:b w:val="0"/>
                <w:color w:val="000000"/>
                <w:sz w:val="16"/>
              </w:rPr>
              <w:t>Build labels from the model dictionary and test them.</w:t>
            </w:r>
          </w:p>
        </w:tc>
      </w:tr>
      <w:tr>
        <w:tc>
          <w:tcPr>
            <w:tcW w:type="dxa" w:w="2100"/>
            <w:shd w:fill="FAFBFC"/>
            <w:vAlign w:val="center"/>
            <w:tcMar>
              <w:top w:w="80" w:type="dxa"/>
              <w:start w:w="120" w:type="dxa"/>
              <w:bottom w:w="80" w:type="dxa"/>
              <w:end w:w="120" w:type="dxa"/>
            </w:tcMar>
          </w:tcPr>
          <w:p>
            <w:pPr>
              <w:spacing w:after="0"/>
            </w:pPr>
            <w:r>
              <w:rPr>
                <w:rFonts w:ascii="Calibri" w:hAnsi="Calibri"/>
                <w:b w:val="0"/>
                <w:color w:val="000000"/>
                <w:sz w:val="16"/>
              </w:rPr>
              <w:t>Excel shows stale formulas</w:t>
            </w:r>
          </w:p>
        </w:tc>
        <w:tc>
          <w:tcPr>
            <w:tcW w:type="dxa" w:w="3500"/>
            <w:shd w:fill="FAFBFC"/>
            <w:vAlign w:val="center"/>
            <w:tcMar>
              <w:top w:w="80" w:type="dxa"/>
              <w:start w:w="120" w:type="dxa"/>
              <w:bottom w:w="80" w:type="dxa"/>
              <w:end w:w="120" w:type="dxa"/>
            </w:tcMar>
          </w:tcPr>
          <w:p>
            <w:pPr>
              <w:spacing w:after="0"/>
            </w:pPr>
            <w:r>
              <w:rPr>
                <w:rFonts w:ascii="Calibri" w:hAnsi="Calibri"/>
                <w:b w:val="0"/>
                <w:color w:val="000000"/>
                <w:sz w:val="16"/>
              </w:rPr>
              <w:t>Workbook formula cache not recalculated.</w:t>
            </w:r>
          </w:p>
        </w:tc>
        <w:tc>
          <w:tcPr>
            <w:tcW w:type="dxa" w:w="3760"/>
            <w:shd w:fill="FAFBFC"/>
            <w:vAlign w:val="center"/>
            <w:tcMar>
              <w:top w:w="80" w:type="dxa"/>
              <w:start w:w="120" w:type="dxa"/>
              <w:bottom w:w="80" w:type="dxa"/>
              <w:end w:w="120" w:type="dxa"/>
            </w:tcMar>
          </w:tcPr>
          <w:p>
            <w:pPr>
              <w:spacing w:after="0"/>
            </w:pPr>
            <w:r>
              <w:rPr>
                <w:rFonts w:ascii="Calibri" w:hAnsi="Calibri"/>
                <w:b w:val="0"/>
                <w:color w:val="000000"/>
                <w:sz w:val="16"/>
              </w:rPr>
              <w:t>Open and calculate in Excel, or compute required values in Python from 01_Input.</w:t>
            </w:r>
          </w:p>
        </w:tc>
      </w:tr>
    </w:tbl>
    <w:p>
      <w:pPr>
        <w:spacing w:after="0"/>
      </w:pPr>
    </w:p>
    <w:p>
      <w:pPr>
        <w:pStyle w:val="Heading1"/>
      </w:pPr>
      <w:r>
        <w:t>11. Inclusion, Access, and Participation</w:t>
      </w:r>
    </w:p>
    <w:p>
      <w:pPr>
        <w:pStyle w:val="ListBullet"/>
      </w:pPr>
      <w:r>
        <w:t>Allow teams to combine roles based on size, but rotate who reports during class so technical labor is not isolated in one student.</w:t>
      </w:r>
    </w:p>
    <w:p>
      <w:pPr>
        <w:pStyle w:val="ListBullet"/>
      </w:pPr>
      <w:r>
        <w:t>Provide formulas and chart descriptions in text, not color alone. Require labels and patterns sufficient for grayscale review.</w:t>
      </w:r>
    </w:p>
    <w:p>
      <w:pPr>
        <w:pStyle w:val="ListBullet"/>
      </w:pPr>
      <w:r>
        <w:t>Offer a paper-based verification pathway if a student device fails; finance learning should continue even when installation does not.</w:t>
      </w:r>
    </w:p>
    <w:p>
      <w:pPr>
        <w:pStyle w:val="ListBullet"/>
      </w:pPr>
      <w:r>
        <w:t>Share the student assignment before class so students can preview vocabulary and code architecture.</w:t>
      </w:r>
    </w:p>
    <w:p>
      <w:pPr>
        <w:pStyle w:val="ListBullet"/>
      </w:pPr>
      <w:r>
        <w:t>Use structured turn-taking in group reports: data, finance concept, code control, and limitation should be voiced by different members.</w:t>
      </w:r>
    </w:p>
    <w:p>
      <w:pPr>
        <w:pStyle w:val="ListBullet"/>
      </w:pPr>
      <w:r>
        <w:t>Evaluate understanding through explanation and traceability, not typing speed or prior programming experience.</w:t>
      </w:r>
    </w:p>
    <w:p>
      <w:pPr>
        <w:pStyle w:val="Heading1"/>
      </w:pPr>
      <w:r>
        <w:t>12. Presentation and Debrief Protocol</w:t>
      </w:r>
    </w:p>
    <w:p>
      <w:pPr>
        <w:pStyle w:val="ListBullet"/>
      </w:pPr>
      <w:r>
        <w:t>Limit each team to five minutes and five content slides.</w:t>
      </w:r>
    </w:p>
    <w:p>
      <w:pPr>
        <w:pStyle w:val="ListBullet"/>
      </w:pPr>
      <w:r>
        <w:t>Require one thesis, one evidence point from each visual, one AI correction, and one caveat.</w:t>
      </w:r>
    </w:p>
    <w:p>
      <w:pPr>
        <w:pStyle w:val="ListBullet"/>
      </w:pPr>
      <w:r>
        <w:t>After each presentation, randomly choose a member for one code/formula question and another for one interpretation question.</w:t>
      </w:r>
    </w:p>
    <w:p>
      <w:pPr>
        <w:pStyle w:val="ListBullet"/>
      </w:pPr>
      <w:r>
        <w:t>Peer listeners record one verified strength and one question about evidence or limitation.</w:t>
      </w:r>
    </w:p>
    <w:p>
      <w:pPr>
        <w:pStyle w:val="ListBullet"/>
      </w:pPr>
      <w:r>
        <w:t>Close by comparing how teams framed the same audited facts differently without changing the numbers.</w:t>
      </w:r>
    </w:p>
    <w:tbl>
      <w:tblPr>
        <w:tblW w:type="dxa" w:w="9360"/>
        <w:jc w:val="left"/>
        <w:tblLayout w:type="fixed"/>
        <w:tblLook w:firstColumn="1" w:firstRow="1" w:lastColumn="0" w:lastRow="0" w:noHBand="0" w:noVBand="1" w:val="04A0"/>
        <w:tblInd w:w="120" w:type="dxa"/>
        <w:tblBorders>
          <w:top w:val="single" w:sz="1" w:space="0" w:color="FFF4CC"/>
          <w:left w:val="single" w:sz="1" w:space="0" w:color="FFF4CC"/>
          <w:bottom w:val="single" w:sz="1" w:space="0" w:color="FFF4CC"/>
          <w:right w:val="single" w:sz="1" w:space="0" w:color="FFF4CC"/>
          <w:insideH w:val="single" w:sz="1" w:space="0" w:color="FFF4CC"/>
          <w:insideV w:val="single" w:sz="1" w:space="0" w:color="FFF4CC"/>
        </w:tblBorders>
      </w:tblPr>
      <w:tblGrid>
        <w:gridCol w:w="9360"/>
      </w:tblGrid>
      <w:tr>
        <w:tc>
          <w:tcPr>
            <w:tcW w:type="dxa" w:w="9360"/>
            <w:vAlign w:val="center"/>
            <w:tcMar>
              <w:top w:w="80" w:type="dxa"/>
              <w:start w:w="120" w:type="dxa"/>
              <w:bottom w:w="80" w:type="dxa"/>
              <w:end w:w="120" w:type="dxa"/>
            </w:tcMar>
            <w:shd w:fill="FFF4CC"/>
          </w:tcPr>
          <w:p>
            <w:pPr>
              <w:spacing w:after="0"/>
            </w:pPr>
            <w:r>
              <w:rPr>
                <w:rFonts w:ascii="Calibri" w:hAnsi="Calibri"/>
                <w:b/>
                <w:color w:val="7A5A00"/>
                <w:sz w:val="21"/>
              </w:rPr>
              <w:t xml:space="preserve">Debrief question: </w:t>
            </w:r>
            <w:r>
              <w:rPr>
                <w:rFonts w:ascii="Calibri" w:hAnsi="Calibri"/>
                <w:color w:val="000000"/>
                <w:sz w:val="21"/>
              </w:rPr>
              <w:t>What did the AI make faster, and what responsibility did it not remove?</w:t>
            </w:r>
          </w:p>
        </w:tc>
      </w:tr>
    </w:tbl>
    <w:p>
      <w:pPr>
        <w:spacing w:after="0"/>
      </w:pPr>
    </w:p>
    <w:p>
      <w:pPr>
        <w:pStyle w:val="Heading1"/>
      </w:pPr>
      <w:r>
        <w:t>Appendix A - Slide Map</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1200"/>
        <w:gridCol w:w="3100"/>
        <w:gridCol w:w="5060"/>
      </w:tblGrid>
      <w:tr>
        <w:trPr>
          <w:tblHeader w:val="true"/>
        </w:trPr>
        <w:tc>
          <w:tcPr>
            <w:tcW w:type="dxa" w:w="1200"/>
            <w:vAlign w:val="center"/>
            <w:tcMar>
              <w:top w:w="80" w:type="dxa"/>
              <w:start w:w="120" w:type="dxa"/>
              <w:bottom w:w="80" w:type="dxa"/>
              <w:end w:w="120" w:type="dxa"/>
            </w:tcMar>
            <w:shd w:fill="E8EEF5"/>
          </w:tcPr>
          <w:p>
            <w:pPr>
              <w:spacing w:after="0"/>
            </w:pPr>
            <w:r>
              <w:rPr>
                <w:rFonts w:ascii="Calibri" w:hAnsi="Calibri"/>
                <w:b/>
                <w:color w:val="0B2545"/>
                <w:sz w:val="17"/>
              </w:rPr>
              <w:t>Slides</w:t>
            </w:r>
          </w:p>
        </w:tc>
        <w:tc>
          <w:tcPr>
            <w:tcW w:type="dxa" w:w="3100"/>
            <w:vAlign w:val="center"/>
            <w:tcMar>
              <w:top w:w="80" w:type="dxa"/>
              <w:start w:w="120" w:type="dxa"/>
              <w:bottom w:w="80" w:type="dxa"/>
              <w:end w:w="120" w:type="dxa"/>
            </w:tcMar>
            <w:shd w:fill="E8EEF5"/>
          </w:tcPr>
          <w:p>
            <w:pPr>
              <w:spacing w:after="0"/>
            </w:pPr>
            <w:r>
              <w:rPr>
                <w:rFonts w:ascii="Calibri" w:hAnsi="Calibri"/>
                <w:b/>
                <w:color w:val="0B2545"/>
                <w:sz w:val="17"/>
              </w:rPr>
              <w:t>Section</w:t>
            </w:r>
          </w:p>
        </w:tc>
        <w:tc>
          <w:tcPr>
            <w:tcW w:type="dxa" w:w="5060"/>
            <w:vAlign w:val="center"/>
            <w:tcMar>
              <w:top w:w="80" w:type="dxa"/>
              <w:start w:w="120" w:type="dxa"/>
              <w:bottom w:w="80" w:type="dxa"/>
              <w:end w:w="120" w:type="dxa"/>
            </w:tcMar>
            <w:shd w:fill="E8EEF5"/>
          </w:tcPr>
          <w:p>
            <w:pPr>
              <w:spacing w:after="0"/>
            </w:pPr>
            <w:r>
              <w:rPr>
                <w:rFonts w:ascii="Calibri" w:hAnsi="Calibri"/>
                <w:b/>
                <w:color w:val="0B2545"/>
                <w:sz w:val="17"/>
              </w:rPr>
              <w:t>Instructor emphasis</w:t>
            </w:r>
          </w:p>
        </w:tc>
      </w:tr>
      <w:tr>
        <w:tc>
          <w:tcPr>
            <w:tcW w:type="dxa" w:w="1200"/>
            <w:vAlign w:val="center"/>
            <w:tcMar>
              <w:top w:w="80" w:type="dxa"/>
              <w:start w:w="120" w:type="dxa"/>
              <w:bottom w:w="80" w:type="dxa"/>
              <w:end w:w="120" w:type="dxa"/>
            </w:tcMar>
          </w:tcPr>
          <w:p>
            <w:pPr>
              <w:spacing w:after="0"/>
            </w:pPr>
            <w:r>
              <w:rPr>
                <w:rFonts w:ascii="Calibri" w:hAnsi="Calibri"/>
                <w:b w:val="0"/>
                <w:color w:val="000000"/>
                <w:sz w:val="17"/>
              </w:rPr>
              <w:t>1-4</w:t>
            </w:r>
          </w:p>
        </w:tc>
        <w:tc>
          <w:tcPr>
            <w:tcW w:type="dxa" w:w="3100"/>
            <w:vAlign w:val="center"/>
            <w:tcMar>
              <w:top w:w="80" w:type="dxa"/>
              <w:start w:w="120" w:type="dxa"/>
              <w:bottom w:w="80" w:type="dxa"/>
              <w:end w:w="120" w:type="dxa"/>
            </w:tcMar>
          </w:tcPr>
          <w:p>
            <w:pPr>
              <w:spacing w:after="0"/>
            </w:pPr>
            <w:r>
              <w:rPr>
                <w:rFonts w:ascii="Calibri" w:hAnsi="Calibri"/>
                <w:b w:val="0"/>
                <w:color w:val="000000"/>
                <w:sz w:val="17"/>
              </w:rPr>
              <w:t>Opening</w:t>
            </w:r>
          </w:p>
        </w:tc>
        <w:tc>
          <w:tcPr>
            <w:tcW w:type="dxa" w:w="5060"/>
            <w:vAlign w:val="center"/>
            <w:tcMar>
              <w:top w:w="80" w:type="dxa"/>
              <w:start w:w="120" w:type="dxa"/>
              <w:bottom w:w="80" w:type="dxa"/>
              <w:end w:w="120" w:type="dxa"/>
            </w:tcMar>
          </w:tcPr>
          <w:p>
            <w:pPr>
              <w:spacing w:after="0"/>
            </w:pPr>
            <w:r>
              <w:rPr>
                <w:rFonts w:ascii="Calibri" w:hAnsi="Calibri"/>
                <w:b w:val="0"/>
                <w:color w:val="000000"/>
                <w:sz w:val="17"/>
              </w:rPr>
              <w:t>Question, outcomes, dashboard, four lenses.</w:t>
            </w:r>
          </w:p>
        </w:tc>
      </w:tr>
      <w:tr>
        <w:tc>
          <w:tcPr>
            <w:tcW w:type="dxa" w:w="1200"/>
            <w:shd w:fill="FAFBFC"/>
            <w:vAlign w:val="center"/>
            <w:tcMar>
              <w:top w:w="80" w:type="dxa"/>
              <w:start w:w="120" w:type="dxa"/>
              <w:bottom w:w="80" w:type="dxa"/>
              <w:end w:w="120" w:type="dxa"/>
            </w:tcMar>
          </w:tcPr>
          <w:p>
            <w:pPr>
              <w:spacing w:after="0"/>
            </w:pPr>
            <w:r>
              <w:rPr>
                <w:rFonts w:ascii="Calibri" w:hAnsi="Calibri"/>
                <w:b w:val="0"/>
                <w:color w:val="000000"/>
                <w:sz w:val="17"/>
              </w:rPr>
              <w:t>5-8</w:t>
            </w:r>
          </w:p>
        </w:tc>
        <w:tc>
          <w:tcPr>
            <w:tcW w:type="dxa" w:w="3100"/>
            <w:shd w:fill="FAFBFC"/>
            <w:vAlign w:val="center"/>
            <w:tcMar>
              <w:top w:w="80" w:type="dxa"/>
              <w:start w:w="120" w:type="dxa"/>
              <w:bottom w:w="80" w:type="dxa"/>
              <w:end w:w="120" w:type="dxa"/>
            </w:tcMar>
          </w:tcPr>
          <w:p>
            <w:pPr>
              <w:spacing w:after="0"/>
            </w:pPr>
            <w:r>
              <w:rPr>
                <w:rFonts w:ascii="Calibri" w:hAnsi="Calibri"/>
                <w:b w:val="0"/>
                <w:color w:val="000000"/>
                <w:sz w:val="17"/>
              </w:rPr>
              <w:t>Assignment setup</w:t>
            </w:r>
          </w:p>
        </w:tc>
        <w:tc>
          <w:tcPr>
            <w:tcW w:type="dxa" w:w="5060"/>
            <w:shd w:fill="FAFBFC"/>
            <w:vAlign w:val="center"/>
            <w:tcMar>
              <w:top w:w="80" w:type="dxa"/>
              <w:start w:w="120" w:type="dxa"/>
              <w:bottom w:w="80" w:type="dxa"/>
              <w:end w:w="120" w:type="dxa"/>
            </w:tcMar>
          </w:tcPr>
          <w:p>
            <w:pPr>
              <w:spacing w:after="0"/>
            </w:pPr>
            <w:r>
              <w:rPr>
                <w:rFonts w:ascii="Calibri" w:hAnsi="Calibri"/>
                <w:b w:val="0"/>
                <w:color w:val="000000"/>
                <w:sz w:val="17"/>
              </w:rPr>
              <w:t>Deliverables, roles, source evidence, story workflow.</w:t>
            </w:r>
          </w:p>
        </w:tc>
      </w:tr>
      <w:tr>
        <w:tc>
          <w:tcPr>
            <w:tcW w:type="dxa" w:w="1200"/>
            <w:vAlign w:val="center"/>
            <w:tcMar>
              <w:top w:w="80" w:type="dxa"/>
              <w:start w:w="120" w:type="dxa"/>
              <w:bottom w:w="80" w:type="dxa"/>
              <w:end w:w="120" w:type="dxa"/>
            </w:tcMar>
          </w:tcPr>
          <w:p>
            <w:pPr>
              <w:spacing w:after="0"/>
            </w:pPr>
            <w:r>
              <w:rPr>
                <w:rFonts w:ascii="Calibri" w:hAnsi="Calibri"/>
                <w:b w:val="0"/>
                <w:color w:val="000000"/>
                <w:sz w:val="17"/>
              </w:rPr>
              <w:t>9-12</w:t>
            </w:r>
          </w:p>
        </w:tc>
        <w:tc>
          <w:tcPr>
            <w:tcW w:type="dxa" w:w="3100"/>
            <w:vAlign w:val="center"/>
            <w:tcMar>
              <w:top w:w="80" w:type="dxa"/>
              <w:start w:w="120" w:type="dxa"/>
              <w:bottom w:w="80" w:type="dxa"/>
              <w:end w:w="120" w:type="dxa"/>
            </w:tcMar>
          </w:tcPr>
          <w:p>
            <w:pPr>
              <w:spacing w:after="0"/>
            </w:pPr>
            <w:r>
              <w:rPr>
                <w:rFonts w:ascii="Calibri" w:hAnsi="Calibri"/>
                <w:b w:val="0"/>
                <w:color w:val="000000"/>
                <w:sz w:val="17"/>
              </w:rPr>
              <w:t>Sankey</w:t>
            </w:r>
          </w:p>
        </w:tc>
        <w:tc>
          <w:tcPr>
            <w:tcW w:type="dxa" w:w="5060"/>
            <w:vAlign w:val="center"/>
            <w:tcMar>
              <w:top w:w="80" w:type="dxa"/>
              <w:start w:w="120" w:type="dxa"/>
              <w:bottom w:w="80" w:type="dxa"/>
              <w:end w:w="120" w:type="dxa"/>
            </w:tcMar>
          </w:tcPr>
          <w:p>
            <w:pPr>
              <w:spacing w:after="0"/>
            </w:pPr>
            <w:r>
              <w:rPr>
                <w:rFonts w:ascii="Calibri" w:hAnsi="Calibri"/>
                <w:b w:val="0"/>
                <w:color w:val="000000"/>
                <w:sz w:val="17"/>
              </w:rPr>
              <w:t>Income statement identities, visual meaning, audit activity.</w:t>
            </w:r>
          </w:p>
        </w:tc>
      </w:tr>
      <w:tr>
        <w:tc>
          <w:tcPr>
            <w:tcW w:type="dxa" w:w="1200"/>
            <w:shd w:fill="FAFBFC"/>
            <w:vAlign w:val="center"/>
            <w:tcMar>
              <w:top w:w="80" w:type="dxa"/>
              <w:start w:w="120" w:type="dxa"/>
              <w:bottom w:w="80" w:type="dxa"/>
              <w:end w:w="120" w:type="dxa"/>
            </w:tcMar>
          </w:tcPr>
          <w:p>
            <w:pPr>
              <w:spacing w:after="0"/>
            </w:pPr>
            <w:r>
              <w:rPr>
                <w:rFonts w:ascii="Calibri" w:hAnsi="Calibri"/>
                <w:b w:val="0"/>
                <w:color w:val="000000"/>
                <w:sz w:val="17"/>
              </w:rPr>
              <w:t>13-18</w:t>
            </w:r>
          </w:p>
        </w:tc>
        <w:tc>
          <w:tcPr>
            <w:tcW w:type="dxa" w:w="3100"/>
            <w:shd w:fill="FAFBFC"/>
            <w:vAlign w:val="center"/>
            <w:tcMar>
              <w:top w:w="80" w:type="dxa"/>
              <w:start w:w="120" w:type="dxa"/>
              <w:bottom w:w="80" w:type="dxa"/>
              <w:end w:w="120" w:type="dxa"/>
            </w:tcMar>
          </w:tcPr>
          <w:p>
            <w:pPr>
              <w:spacing w:after="0"/>
            </w:pPr>
            <w:r>
              <w:rPr>
                <w:rFonts w:ascii="Calibri" w:hAnsi="Calibri"/>
                <w:b w:val="0"/>
                <w:color w:val="000000"/>
                <w:sz w:val="17"/>
              </w:rPr>
              <w:t>FCF</w:t>
            </w:r>
          </w:p>
        </w:tc>
        <w:tc>
          <w:tcPr>
            <w:tcW w:type="dxa" w:w="5060"/>
            <w:shd w:fill="FAFBFC"/>
            <w:vAlign w:val="center"/>
            <w:tcMar>
              <w:top w:w="80" w:type="dxa"/>
              <w:start w:w="120" w:type="dxa"/>
              <w:bottom w:w="80" w:type="dxa"/>
              <w:end w:w="120" w:type="dxa"/>
            </w:tcMar>
          </w:tcPr>
          <w:p>
            <w:pPr>
              <w:spacing w:after="0"/>
            </w:pPr>
            <w:r>
              <w:rPr>
                <w:rFonts w:ascii="Calibri" w:hAnsi="Calibri"/>
                <w:b w:val="0"/>
                <w:color w:val="000000"/>
                <w:sz w:val="17"/>
              </w:rPr>
              <w:t>Profit vs cash, definitions, formula bridge, residual, sign error.</w:t>
            </w:r>
          </w:p>
        </w:tc>
      </w:tr>
      <w:tr>
        <w:tc>
          <w:tcPr>
            <w:tcW w:type="dxa" w:w="1200"/>
            <w:vAlign w:val="center"/>
            <w:tcMar>
              <w:top w:w="80" w:type="dxa"/>
              <w:start w:w="120" w:type="dxa"/>
              <w:bottom w:w="80" w:type="dxa"/>
              <w:end w:w="120" w:type="dxa"/>
            </w:tcMar>
          </w:tcPr>
          <w:p>
            <w:pPr>
              <w:spacing w:after="0"/>
            </w:pPr>
            <w:r>
              <w:rPr>
                <w:rFonts w:ascii="Calibri" w:hAnsi="Calibri"/>
                <w:b w:val="0"/>
                <w:color w:val="000000"/>
                <w:sz w:val="17"/>
              </w:rPr>
              <w:t>19-22</w:t>
            </w:r>
          </w:p>
        </w:tc>
        <w:tc>
          <w:tcPr>
            <w:tcW w:type="dxa" w:w="3100"/>
            <w:vAlign w:val="center"/>
            <w:tcMar>
              <w:top w:w="80" w:type="dxa"/>
              <w:start w:w="120" w:type="dxa"/>
              <w:bottom w:w="80" w:type="dxa"/>
              <w:end w:w="120" w:type="dxa"/>
            </w:tcMar>
          </w:tcPr>
          <w:p>
            <w:pPr>
              <w:spacing w:after="0"/>
            </w:pPr>
            <w:r>
              <w:rPr>
                <w:rFonts w:ascii="Calibri" w:hAnsi="Calibri"/>
                <w:b w:val="0"/>
                <w:color w:val="000000"/>
                <w:sz w:val="17"/>
              </w:rPr>
              <w:t>Trend</w:t>
            </w:r>
          </w:p>
        </w:tc>
        <w:tc>
          <w:tcPr>
            <w:tcW w:type="dxa" w:w="5060"/>
            <w:vAlign w:val="center"/>
            <w:tcMar>
              <w:top w:w="80" w:type="dxa"/>
              <w:start w:w="120" w:type="dxa"/>
              <w:bottom w:w="80" w:type="dxa"/>
              <w:end w:w="120" w:type="dxa"/>
            </w:tcMar>
          </w:tcPr>
          <w:p>
            <w:pPr>
              <w:spacing w:after="0"/>
            </w:pPr>
            <w:r>
              <w:rPr>
                <w:rFonts w:ascii="Calibri" w:hAnsi="Calibri"/>
                <w:b w:val="0"/>
                <w:color w:val="000000"/>
                <w:sz w:val="17"/>
              </w:rPr>
              <w:t>Five-year view, CAGR intervals, dual-axis interpretation.</w:t>
            </w:r>
          </w:p>
        </w:tc>
      </w:tr>
      <w:tr>
        <w:tc>
          <w:tcPr>
            <w:tcW w:type="dxa" w:w="1200"/>
            <w:shd w:fill="FAFBFC"/>
            <w:vAlign w:val="center"/>
            <w:tcMar>
              <w:top w:w="80" w:type="dxa"/>
              <w:start w:w="120" w:type="dxa"/>
              <w:bottom w:w="80" w:type="dxa"/>
              <w:end w:w="120" w:type="dxa"/>
            </w:tcMar>
          </w:tcPr>
          <w:p>
            <w:pPr>
              <w:spacing w:after="0"/>
            </w:pPr>
            <w:r>
              <w:rPr>
                <w:rFonts w:ascii="Calibri" w:hAnsi="Calibri"/>
                <w:b w:val="0"/>
                <w:color w:val="000000"/>
                <w:sz w:val="17"/>
              </w:rPr>
              <w:t>23-26</w:t>
            </w:r>
          </w:p>
        </w:tc>
        <w:tc>
          <w:tcPr>
            <w:tcW w:type="dxa" w:w="3100"/>
            <w:shd w:fill="FAFBFC"/>
            <w:vAlign w:val="center"/>
            <w:tcMar>
              <w:top w:w="80" w:type="dxa"/>
              <w:start w:w="120" w:type="dxa"/>
              <w:bottom w:w="80" w:type="dxa"/>
              <w:end w:w="120" w:type="dxa"/>
            </w:tcMar>
          </w:tcPr>
          <w:p>
            <w:pPr>
              <w:spacing w:after="0"/>
            </w:pPr>
            <w:r>
              <w:rPr>
                <w:rFonts w:ascii="Calibri" w:hAnsi="Calibri"/>
                <w:b w:val="0"/>
                <w:color w:val="000000"/>
                <w:sz w:val="17"/>
              </w:rPr>
              <w:t>DuPont</w:t>
            </w:r>
          </w:p>
        </w:tc>
        <w:tc>
          <w:tcPr>
            <w:tcW w:type="dxa" w:w="5060"/>
            <w:shd w:fill="FAFBFC"/>
            <w:vAlign w:val="center"/>
            <w:tcMar>
              <w:top w:w="80" w:type="dxa"/>
              <w:start w:w="120" w:type="dxa"/>
              <w:bottom w:w="80" w:type="dxa"/>
              <w:end w:w="120" w:type="dxa"/>
            </w:tcMar>
          </w:tcPr>
          <w:p>
            <w:pPr>
              <w:spacing w:after="0"/>
            </w:pPr>
            <w:r>
              <w:rPr>
                <w:rFonts w:ascii="Calibri" w:hAnsi="Calibri"/>
                <w:b w:val="0"/>
                <w:color w:val="000000"/>
                <w:sz w:val="17"/>
              </w:rPr>
              <w:t>Three factors, averages, leverage, audit activity.</w:t>
            </w:r>
          </w:p>
        </w:tc>
      </w:tr>
      <w:tr>
        <w:tc>
          <w:tcPr>
            <w:tcW w:type="dxa" w:w="1200"/>
            <w:vAlign w:val="center"/>
            <w:tcMar>
              <w:top w:w="80" w:type="dxa"/>
              <w:start w:w="120" w:type="dxa"/>
              <w:bottom w:w="80" w:type="dxa"/>
              <w:end w:w="120" w:type="dxa"/>
            </w:tcMar>
          </w:tcPr>
          <w:p>
            <w:pPr>
              <w:spacing w:after="0"/>
            </w:pPr>
            <w:r>
              <w:rPr>
                <w:rFonts w:ascii="Calibri" w:hAnsi="Calibri"/>
                <w:b w:val="0"/>
                <w:color w:val="000000"/>
                <w:sz w:val="17"/>
              </w:rPr>
              <w:t>27-30</w:t>
            </w:r>
          </w:p>
        </w:tc>
        <w:tc>
          <w:tcPr>
            <w:tcW w:type="dxa" w:w="3100"/>
            <w:vAlign w:val="center"/>
            <w:tcMar>
              <w:top w:w="80" w:type="dxa"/>
              <w:start w:w="120" w:type="dxa"/>
              <w:bottom w:w="80" w:type="dxa"/>
              <w:end w:w="120" w:type="dxa"/>
            </w:tcMar>
          </w:tcPr>
          <w:p>
            <w:pPr>
              <w:spacing w:after="0"/>
            </w:pPr>
            <w:r>
              <w:rPr>
                <w:rFonts w:ascii="Calibri" w:hAnsi="Calibri"/>
                <w:b w:val="0"/>
                <w:color w:val="000000"/>
                <w:sz w:val="17"/>
              </w:rPr>
              <w:t>AI prompt and REM</w:t>
            </w:r>
          </w:p>
        </w:tc>
        <w:tc>
          <w:tcPr>
            <w:tcW w:type="dxa" w:w="5060"/>
            <w:vAlign w:val="center"/>
            <w:tcMar>
              <w:top w:w="80" w:type="dxa"/>
              <w:start w:w="120" w:type="dxa"/>
              <w:bottom w:w="80" w:type="dxa"/>
              <w:end w:w="120" w:type="dxa"/>
            </w:tcMar>
          </w:tcPr>
          <w:p>
            <w:pPr>
              <w:spacing w:after="0"/>
            </w:pPr>
            <w:r>
              <w:rPr>
                <w:rFonts w:ascii="Calibri" w:hAnsi="Calibri"/>
                <w:b w:val="0"/>
                <w:color w:val="000000"/>
                <w:sz w:val="17"/>
              </w:rPr>
              <w:t>Junior analyst framing, prompt controls, auditable documentation.</w:t>
            </w:r>
          </w:p>
        </w:tc>
      </w:tr>
      <w:tr>
        <w:tc>
          <w:tcPr>
            <w:tcW w:type="dxa" w:w="1200"/>
            <w:shd w:fill="FAFBFC"/>
            <w:vAlign w:val="center"/>
            <w:tcMar>
              <w:top w:w="80" w:type="dxa"/>
              <w:start w:w="120" w:type="dxa"/>
              <w:bottom w:w="80" w:type="dxa"/>
              <w:end w:w="120" w:type="dxa"/>
            </w:tcMar>
          </w:tcPr>
          <w:p>
            <w:pPr>
              <w:spacing w:after="0"/>
            </w:pPr>
            <w:r>
              <w:rPr>
                <w:rFonts w:ascii="Calibri" w:hAnsi="Calibri"/>
                <w:b w:val="0"/>
                <w:color w:val="000000"/>
                <w:sz w:val="17"/>
              </w:rPr>
              <w:t>31-34</w:t>
            </w:r>
          </w:p>
        </w:tc>
        <w:tc>
          <w:tcPr>
            <w:tcW w:type="dxa" w:w="3100"/>
            <w:shd w:fill="FAFBFC"/>
            <w:vAlign w:val="center"/>
            <w:tcMar>
              <w:top w:w="80" w:type="dxa"/>
              <w:start w:w="120" w:type="dxa"/>
              <w:bottom w:w="80" w:type="dxa"/>
              <w:end w:w="120" w:type="dxa"/>
            </w:tcMar>
          </w:tcPr>
          <w:p>
            <w:pPr>
              <w:spacing w:after="0"/>
            </w:pPr>
            <w:r>
              <w:rPr>
                <w:rFonts w:ascii="Calibri" w:hAnsi="Calibri"/>
                <w:b w:val="0"/>
                <w:color w:val="000000"/>
                <w:sz w:val="17"/>
              </w:rPr>
              <w:t>Annotated code</w:t>
            </w:r>
          </w:p>
        </w:tc>
        <w:tc>
          <w:tcPr>
            <w:tcW w:type="dxa" w:w="5060"/>
            <w:shd w:fill="FAFBFC"/>
            <w:vAlign w:val="center"/>
            <w:tcMar>
              <w:top w:w="80" w:type="dxa"/>
              <w:start w:w="120" w:type="dxa"/>
              <w:bottom w:w="80" w:type="dxa"/>
              <w:end w:w="120" w:type="dxa"/>
            </w:tcMar>
          </w:tcPr>
          <w:p>
            <w:pPr>
              <w:spacing w:after="0"/>
            </w:pPr>
            <w:r>
              <w:rPr>
                <w:rFonts w:ascii="Calibri" w:hAnsi="Calibri"/>
                <w:b w:val="0"/>
                <w:color w:val="000000"/>
                <w:sz w:val="17"/>
              </w:rPr>
              <w:t>Architecture, inputs, signs, calculations, stop conditions.</w:t>
            </w:r>
          </w:p>
        </w:tc>
      </w:tr>
      <w:tr>
        <w:tc>
          <w:tcPr>
            <w:tcW w:type="dxa" w:w="1200"/>
            <w:vAlign w:val="center"/>
            <w:tcMar>
              <w:top w:w="80" w:type="dxa"/>
              <w:start w:w="120" w:type="dxa"/>
              <w:bottom w:w="80" w:type="dxa"/>
              <w:end w:w="120" w:type="dxa"/>
            </w:tcMar>
          </w:tcPr>
          <w:p>
            <w:pPr>
              <w:spacing w:after="0"/>
            </w:pPr>
            <w:r>
              <w:rPr>
                <w:rFonts w:ascii="Calibri" w:hAnsi="Calibri"/>
                <w:b w:val="0"/>
                <w:color w:val="000000"/>
                <w:sz w:val="17"/>
              </w:rPr>
              <w:t>35-37</w:t>
            </w:r>
          </w:p>
        </w:tc>
        <w:tc>
          <w:tcPr>
            <w:tcW w:type="dxa" w:w="3100"/>
            <w:vAlign w:val="center"/>
            <w:tcMar>
              <w:top w:w="80" w:type="dxa"/>
              <w:start w:w="120" w:type="dxa"/>
              <w:bottom w:w="80" w:type="dxa"/>
              <w:end w:w="120" w:type="dxa"/>
            </w:tcMar>
          </w:tcPr>
          <w:p>
            <w:pPr>
              <w:spacing w:after="0"/>
            </w:pPr>
            <w:r>
              <w:rPr>
                <w:rFonts w:ascii="Calibri" w:hAnsi="Calibri"/>
                <w:b w:val="0"/>
                <w:color w:val="000000"/>
                <w:sz w:val="17"/>
              </w:rPr>
              <w:t>Verification</w:t>
            </w:r>
          </w:p>
        </w:tc>
        <w:tc>
          <w:tcPr>
            <w:tcW w:type="dxa" w:w="5060"/>
            <w:vAlign w:val="center"/>
            <w:tcMar>
              <w:top w:w="80" w:type="dxa"/>
              <w:start w:w="120" w:type="dxa"/>
              <w:bottom w:w="80" w:type="dxa"/>
              <w:end w:w="120" w:type="dxa"/>
            </w:tcMar>
          </w:tcPr>
          <w:p>
            <w:pPr>
              <w:spacing w:after="0"/>
            </w:pPr>
            <w:r>
              <w:rPr>
                <w:rFonts w:ascii="Calibri" w:hAnsi="Calibri"/>
                <w:b w:val="0"/>
                <w:color w:val="000000"/>
                <w:sz w:val="17"/>
              </w:rPr>
              <w:t>Five layers, six checks, documented human correction.</w:t>
            </w:r>
          </w:p>
        </w:tc>
      </w:tr>
      <w:tr>
        <w:tc>
          <w:tcPr>
            <w:tcW w:type="dxa" w:w="1200"/>
            <w:shd w:fill="FAFBFC"/>
            <w:vAlign w:val="center"/>
            <w:tcMar>
              <w:top w:w="80" w:type="dxa"/>
              <w:start w:w="120" w:type="dxa"/>
              <w:bottom w:w="80" w:type="dxa"/>
              <w:end w:w="120" w:type="dxa"/>
            </w:tcMar>
          </w:tcPr>
          <w:p>
            <w:pPr>
              <w:spacing w:after="0"/>
            </w:pPr>
            <w:r>
              <w:rPr>
                <w:rFonts w:ascii="Calibri" w:hAnsi="Calibri"/>
                <w:b w:val="0"/>
                <w:color w:val="000000"/>
                <w:sz w:val="17"/>
              </w:rPr>
              <w:t>38-41</w:t>
            </w:r>
          </w:p>
        </w:tc>
        <w:tc>
          <w:tcPr>
            <w:tcW w:type="dxa" w:w="3100"/>
            <w:shd w:fill="FAFBFC"/>
            <w:vAlign w:val="center"/>
            <w:tcMar>
              <w:top w:w="80" w:type="dxa"/>
              <w:start w:w="120" w:type="dxa"/>
              <w:bottom w:w="80" w:type="dxa"/>
              <w:end w:w="120" w:type="dxa"/>
            </w:tcMar>
          </w:tcPr>
          <w:p>
            <w:pPr>
              <w:spacing w:after="0"/>
            </w:pPr>
            <w:r>
              <w:rPr>
                <w:rFonts w:ascii="Calibri" w:hAnsi="Calibri"/>
                <w:b w:val="0"/>
                <w:color w:val="000000"/>
                <w:sz w:val="17"/>
              </w:rPr>
              <w:t>Synthesis and assessment</w:t>
            </w:r>
          </w:p>
        </w:tc>
        <w:tc>
          <w:tcPr>
            <w:tcW w:type="dxa" w:w="5060"/>
            <w:shd w:fill="FAFBFC"/>
            <w:vAlign w:val="center"/>
            <w:tcMar>
              <w:top w:w="80" w:type="dxa"/>
              <w:start w:w="120" w:type="dxa"/>
              <w:bottom w:w="80" w:type="dxa"/>
              <w:end w:w="120" w:type="dxa"/>
            </w:tcMar>
          </w:tcPr>
          <w:p>
            <w:pPr>
              <w:spacing w:after="0"/>
            </w:pPr>
            <w:r>
              <w:rPr>
                <w:rFonts w:ascii="Calibri" w:hAnsi="Calibri"/>
                <w:b w:val="0"/>
                <w:color w:val="000000"/>
                <w:sz w:val="17"/>
              </w:rPr>
              <w:t>Executive story, deliverables, presentation, rubric.</w:t>
            </w:r>
          </w:p>
        </w:tc>
      </w:tr>
      <w:tr>
        <w:tc>
          <w:tcPr>
            <w:tcW w:type="dxa" w:w="1200"/>
            <w:vAlign w:val="center"/>
            <w:tcMar>
              <w:top w:w="80" w:type="dxa"/>
              <w:start w:w="120" w:type="dxa"/>
              <w:bottom w:w="80" w:type="dxa"/>
              <w:end w:w="120" w:type="dxa"/>
            </w:tcMar>
          </w:tcPr>
          <w:p>
            <w:pPr>
              <w:spacing w:after="0"/>
            </w:pPr>
            <w:r>
              <w:rPr>
                <w:rFonts w:ascii="Calibri" w:hAnsi="Calibri"/>
                <w:b w:val="0"/>
                <w:color w:val="000000"/>
                <w:sz w:val="17"/>
              </w:rPr>
              <w:t>42-43</w:t>
            </w:r>
          </w:p>
        </w:tc>
        <w:tc>
          <w:tcPr>
            <w:tcW w:type="dxa" w:w="3100"/>
            <w:vAlign w:val="center"/>
            <w:tcMar>
              <w:top w:w="80" w:type="dxa"/>
              <w:start w:w="120" w:type="dxa"/>
              <w:bottom w:w="80" w:type="dxa"/>
              <w:end w:w="120" w:type="dxa"/>
            </w:tcMar>
          </w:tcPr>
          <w:p>
            <w:pPr>
              <w:spacing w:after="0"/>
            </w:pPr>
            <w:r>
              <w:rPr>
                <w:rFonts w:ascii="Calibri" w:hAnsi="Calibri"/>
                <w:b w:val="0"/>
                <w:color w:val="000000"/>
                <w:sz w:val="17"/>
              </w:rPr>
              <w:t>Work session and close</w:t>
            </w:r>
          </w:p>
        </w:tc>
        <w:tc>
          <w:tcPr>
            <w:tcW w:type="dxa" w:w="5060"/>
            <w:vAlign w:val="center"/>
            <w:tcMar>
              <w:top w:w="80" w:type="dxa"/>
              <w:start w:w="120" w:type="dxa"/>
              <w:bottom w:w="80" w:type="dxa"/>
              <w:end w:w="120" w:type="dxa"/>
            </w:tcMar>
          </w:tcPr>
          <w:p>
            <w:pPr>
              <w:spacing w:after="0"/>
            </w:pPr>
            <w:r>
              <w:rPr>
                <w:rFonts w:ascii="Calibri" w:hAnsi="Calibri"/>
                <w:b w:val="0"/>
                <w:color w:val="000000"/>
                <w:sz w:val="17"/>
              </w:rPr>
              <w:t>Team checkpoints and exit ticket.</w:t>
            </w:r>
          </w:p>
        </w:tc>
      </w:tr>
    </w:tbl>
    <w:p>
      <w:pPr>
        <w:spacing w:after="0"/>
      </w:pPr>
    </w:p>
    <w:p>
      <w:pPr>
        <w:pStyle w:val="Heading1"/>
      </w:pPr>
      <w:r>
        <w:t>Appendix B - Verified Benchmarks</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5200"/>
        <w:gridCol w:w="4160"/>
      </w:tblGrid>
      <w:tr>
        <w:trPr>
          <w:tblHeader w:val="true"/>
        </w:trPr>
        <w:tc>
          <w:tcPr>
            <w:tcW w:type="dxa" w:w="5200"/>
            <w:vAlign w:val="center"/>
            <w:tcMar>
              <w:top w:w="80" w:type="dxa"/>
              <w:start w:w="120" w:type="dxa"/>
              <w:bottom w:w="80" w:type="dxa"/>
              <w:end w:w="120" w:type="dxa"/>
            </w:tcMar>
            <w:shd w:fill="E8EEF5"/>
          </w:tcPr>
          <w:p>
            <w:pPr>
              <w:spacing w:after="0"/>
            </w:pPr>
            <w:r>
              <w:rPr>
                <w:rFonts w:ascii="Calibri" w:hAnsi="Calibri"/>
                <w:b/>
                <w:color w:val="0B2545"/>
                <w:sz w:val="18"/>
              </w:rPr>
              <w:t>Benchmark</w:t>
            </w:r>
          </w:p>
        </w:tc>
        <w:tc>
          <w:tcPr>
            <w:tcW w:type="dxa" w:w="4160"/>
            <w:vAlign w:val="center"/>
            <w:tcMar>
              <w:top w:w="80" w:type="dxa"/>
              <w:start w:w="120" w:type="dxa"/>
              <w:bottom w:w="80" w:type="dxa"/>
              <w:end w:w="120" w:type="dxa"/>
            </w:tcMar>
            <w:shd w:fill="E8EEF5"/>
          </w:tcPr>
          <w:p>
            <w:pPr>
              <w:spacing w:after="0"/>
            </w:pPr>
            <w:r>
              <w:rPr>
                <w:rFonts w:ascii="Calibri" w:hAnsi="Calibri"/>
                <w:b/>
                <w:color w:val="0B2545"/>
                <w:sz w:val="18"/>
              </w:rPr>
              <w:t>Expected value</w:t>
            </w:r>
          </w:p>
        </w:tc>
      </w:tr>
      <w:tr>
        <w:tc>
          <w:tcPr>
            <w:tcW w:type="dxa" w:w="5200"/>
            <w:vAlign w:val="center"/>
            <w:tcMar>
              <w:top w:w="80" w:type="dxa"/>
              <w:start w:w="120" w:type="dxa"/>
              <w:bottom w:w="80" w:type="dxa"/>
              <w:end w:w="120" w:type="dxa"/>
            </w:tcMar>
          </w:tcPr>
          <w:p>
            <w:pPr>
              <w:spacing w:after="0"/>
            </w:pPr>
            <w:r>
              <w:rPr>
                <w:rFonts w:ascii="Calibri" w:hAnsi="Calibri"/>
                <w:b/>
                <w:color w:val="000000"/>
                <w:sz w:val="18"/>
              </w:rPr>
              <w:t>FY2025 net sales</w:t>
            </w:r>
          </w:p>
        </w:tc>
        <w:tc>
          <w:tcPr>
            <w:tcW w:type="dxa" w:w="4160"/>
            <w:vAlign w:val="center"/>
            <w:tcMar>
              <w:top w:w="80" w:type="dxa"/>
              <w:start w:w="120" w:type="dxa"/>
              <w:bottom w:w="80" w:type="dxa"/>
              <w:end w:w="120" w:type="dxa"/>
            </w:tcMar>
          </w:tcPr>
          <w:p>
            <w:pPr>
              <w:spacing w:after="0"/>
            </w:pPr>
            <w:r>
              <w:rPr>
                <w:rFonts w:ascii="Calibri" w:hAnsi="Calibri"/>
                <w:b w:val="0"/>
                <w:color w:val="000000"/>
                <w:sz w:val="18"/>
              </w:rPr>
              <w:t>$84,284M</w:t>
            </w:r>
          </w:p>
        </w:tc>
      </w:tr>
      <w:tr>
        <w:tc>
          <w:tcPr>
            <w:tcW w:type="dxa" w:w="5200"/>
            <w:shd w:fill="FAFBFC"/>
            <w:vAlign w:val="center"/>
            <w:tcMar>
              <w:top w:w="80" w:type="dxa"/>
              <w:start w:w="120" w:type="dxa"/>
              <w:bottom w:w="80" w:type="dxa"/>
              <w:end w:w="120" w:type="dxa"/>
            </w:tcMar>
          </w:tcPr>
          <w:p>
            <w:pPr>
              <w:spacing w:after="0"/>
            </w:pPr>
            <w:r>
              <w:rPr>
                <w:rFonts w:ascii="Calibri" w:hAnsi="Calibri"/>
                <w:b/>
                <w:color w:val="000000"/>
                <w:sz w:val="18"/>
              </w:rPr>
              <w:t>FY2025 operating income (EBIT)</w:t>
            </w:r>
          </w:p>
        </w:tc>
        <w:tc>
          <w:tcPr>
            <w:tcW w:type="dxa" w:w="4160"/>
            <w:shd w:fill="FAFBFC"/>
            <w:vAlign w:val="center"/>
            <w:tcMar>
              <w:top w:w="80" w:type="dxa"/>
              <w:start w:w="120" w:type="dxa"/>
              <w:bottom w:w="80" w:type="dxa"/>
              <w:end w:w="120" w:type="dxa"/>
            </w:tcMar>
          </w:tcPr>
          <w:p>
            <w:pPr>
              <w:spacing w:after="0"/>
            </w:pPr>
            <w:r>
              <w:rPr>
                <w:rFonts w:ascii="Calibri" w:hAnsi="Calibri"/>
                <w:b w:val="0"/>
                <w:color w:val="000000"/>
                <w:sz w:val="18"/>
              </w:rPr>
              <w:t>$20,451M</w:t>
            </w:r>
          </w:p>
        </w:tc>
      </w:tr>
      <w:tr>
        <w:tc>
          <w:tcPr>
            <w:tcW w:type="dxa" w:w="5200"/>
            <w:vAlign w:val="center"/>
            <w:tcMar>
              <w:top w:w="80" w:type="dxa"/>
              <w:start w:w="120" w:type="dxa"/>
              <w:bottom w:w="80" w:type="dxa"/>
              <w:end w:w="120" w:type="dxa"/>
            </w:tcMar>
          </w:tcPr>
          <w:p>
            <w:pPr>
              <w:spacing w:after="0"/>
            </w:pPr>
            <w:r>
              <w:rPr>
                <w:rFonts w:ascii="Calibri" w:hAnsi="Calibri"/>
                <w:b/>
                <w:color w:val="000000"/>
                <w:sz w:val="18"/>
              </w:rPr>
              <w:t>FY2025 net earnings</w:t>
            </w:r>
          </w:p>
        </w:tc>
        <w:tc>
          <w:tcPr>
            <w:tcW w:type="dxa" w:w="4160"/>
            <w:vAlign w:val="center"/>
            <w:tcMar>
              <w:top w:w="80" w:type="dxa"/>
              <w:start w:w="120" w:type="dxa"/>
              <w:bottom w:w="80" w:type="dxa"/>
              <w:end w:w="120" w:type="dxa"/>
            </w:tcMar>
          </w:tcPr>
          <w:p>
            <w:pPr>
              <w:spacing w:after="0"/>
            </w:pPr>
            <w:r>
              <w:rPr>
                <w:rFonts w:ascii="Calibri" w:hAnsi="Calibri"/>
                <w:b w:val="0"/>
                <w:color w:val="000000"/>
                <w:sz w:val="18"/>
              </w:rPr>
              <w:t>$16,065M</w:t>
            </w:r>
          </w:p>
        </w:tc>
      </w:tr>
      <w:tr>
        <w:tc>
          <w:tcPr>
            <w:tcW w:type="dxa" w:w="5200"/>
            <w:shd w:fill="FAFBFC"/>
            <w:vAlign w:val="center"/>
            <w:tcMar>
              <w:top w:w="80" w:type="dxa"/>
              <w:start w:w="120" w:type="dxa"/>
              <w:bottom w:w="80" w:type="dxa"/>
              <w:end w:w="120" w:type="dxa"/>
            </w:tcMar>
          </w:tcPr>
          <w:p>
            <w:pPr>
              <w:spacing w:after="0"/>
            </w:pPr>
            <w:r>
              <w:rPr>
                <w:rFonts w:ascii="Calibri" w:hAnsi="Calibri"/>
                <w:b/>
                <w:color w:val="000000"/>
                <w:sz w:val="18"/>
              </w:rPr>
              <w:t>FY2025 cash flow from operations</w:t>
            </w:r>
          </w:p>
        </w:tc>
        <w:tc>
          <w:tcPr>
            <w:tcW w:type="dxa" w:w="4160"/>
            <w:shd w:fill="FAFBFC"/>
            <w:vAlign w:val="center"/>
            <w:tcMar>
              <w:top w:w="80" w:type="dxa"/>
              <w:start w:w="120" w:type="dxa"/>
              <w:bottom w:w="80" w:type="dxa"/>
              <w:end w:w="120" w:type="dxa"/>
            </w:tcMar>
          </w:tcPr>
          <w:p>
            <w:pPr>
              <w:spacing w:after="0"/>
            </w:pPr>
            <w:r>
              <w:rPr>
                <w:rFonts w:ascii="Calibri" w:hAnsi="Calibri"/>
                <w:b w:val="0"/>
                <w:color w:val="000000"/>
                <w:sz w:val="18"/>
              </w:rPr>
              <w:t>$17,817M</w:t>
            </w:r>
          </w:p>
        </w:tc>
      </w:tr>
      <w:tr>
        <w:tc>
          <w:tcPr>
            <w:tcW w:type="dxa" w:w="5200"/>
            <w:vAlign w:val="center"/>
            <w:tcMar>
              <w:top w:w="80" w:type="dxa"/>
              <w:start w:w="120" w:type="dxa"/>
              <w:bottom w:w="80" w:type="dxa"/>
              <w:end w:w="120" w:type="dxa"/>
            </w:tcMar>
          </w:tcPr>
          <w:p>
            <w:pPr>
              <w:spacing w:after="0"/>
            </w:pPr>
            <w:r>
              <w:rPr>
                <w:rFonts w:ascii="Calibri" w:hAnsi="Calibri"/>
                <w:b/>
                <w:color w:val="000000"/>
                <w:sz w:val="18"/>
              </w:rPr>
              <w:t>FY2025 capital expenditures</w:t>
            </w:r>
          </w:p>
        </w:tc>
        <w:tc>
          <w:tcPr>
            <w:tcW w:type="dxa" w:w="4160"/>
            <w:vAlign w:val="center"/>
            <w:tcMar>
              <w:top w:w="80" w:type="dxa"/>
              <w:start w:w="120" w:type="dxa"/>
              <w:bottom w:w="80" w:type="dxa"/>
              <w:end w:w="120" w:type="dxa"/>
            </w:tcMar>
          </w:tcPr>
          <w:p>
            <w:pPr>
              <w:spacing w:after="0"/>
            </w:pPr>
            <w:r>
              <w:rPr>
                <w:rFonts w:ascii="Calibri" w:hAnsi="Calibri"/>
                <w:b w:val="0"/>
                <w:color w:val="000000"/>
                <w:sz w:val="18"/>
              </w:rPr>
              <w:t>$3,773M magnitude</w:t>
            </w:r>
          </w:p>
        </w:tc>
      </w:tr>
      <w:tr>
        <w:tc>
          <w:tcPr>
            <w:tcW w:type="dxa" w:w="5200"/>
            <w:shd w:fill="FAFBFC"/>
            <w:vAlign w:val="center"/>
            <w:tcMar>
              <w:top w:w="80" w:type="dxa"/>
              <w:start w:w="120" w:type="dxa"/>
              <w:bottom w:w="80" w:type="dxa"/>
              <w:end w:w="120" w:type="dxa"/>
            </w:tcMar>
          </w:tcPr>
          <w:p>
            <w:pPr>
              <w:spacing w:after="0"/>
            </w:pPr>
            <w:r>
              <w:rPr>
                <w:rFonts w:ascii="Calibri" w:hAnsi="Calibri"/>
                <w:b/>
                <w:color w:val="000000"/>
                <w:sz w:val="18"/>
              </w:rPr>
              <w:t>Textbook FCF</w:t>
            </w:r>
          </w:p>
        </w:tc>
        <w:tc>
          <w:tcPr>
            <w:tcW w:type="dxa" w:w="4160"/>
            <w:shd w:fill="FAFBFC"/>
            <w:vAlign w:val="center"/>
            <w:tcMar>
              <w:top w:w="80" w:type="dxa"/>
              <w:start w:w="120" w:type="dxa"/>
              <w:bottom w:w="80" w:type="dxa"/>
              <w:end w:w="120" w:type="dxa"/>
            </w:tcMar>
          </w:tcPr>
          <w:p>
            <w:pPr>
              <w:spacing w:after="0"/>
            </w:pPr>
            <w:r>
              <w:rPr>
                <w:rFonts w:ascii="Calibri" w:hAnsi="Calibri"/>
                <w:b w:val="0"/>
                <w:color w:val="000000"/>
                <w:sz w:val="18"/>
              </w:rPr>
              <w:t>$14,866.23M</w:t>
            </w:r>
          </w:p>
        </w:tc>
      </w:tr>
      <w:tr>
        <w:tc>
          <w:tcPr>
            <w:tcW w:type="dxa" w:w="5200"/>
            <w:vAlign w:val="center"/>
            <w:tcMar>
              <w:top w:w="80" w:type="dxa"/>
              <w:start w:w="120" w:type="dxa"/>
              <w:bottom w:w="80" w:type="dxa"/>
              <w:end w:w="120" w:type="dxa"/>
            </w:tcMar>
          </w:tcPr>
          <w:p>
            <w:pPr>
              <w:spacing w:after="0"/>
            </w:pPr>
            <w:r>
              <w:rPr>
                <w:rFonts w:ascii="Calibri" w:hAnsi="Calibri"/>
                <w:b/>
                <w:color w:val="000000"/>
                <w:sz w:val="18"/>
              </w:rPr>
              <w:t>Cash FCF</w:t>
            </w:r>
          </w:p>
        </w:tc>
        <w:tc>
          <w:tcPr>
            <w:tcW w:type="dxa" w:w="4160"/>
            <w:vAlign w:val="center"/>
            <w:tcMar>
              <w:top w:w="80" w:type="dxa"/>
              <w:start w:w="120" w:type="dxa"/>
              <w:bottom w:w="80" w:type="dxa"/>
              <w:end w:w="120" w:type="dxa"/>
            </w:tcMar>
          </w:tcPr>
          <w:p>
            <w:pPr>
              <w:spacing w:after="0"/>
            </w:pPr>
            <w:r>
              <w:rPr>
                <w:rFonts w:ascii="Calibri" w:hAnsi="Calibri"/>
                <w:b w:val="0"/>
                <w:color w:val="000000"/>
                <w:sz w:val="18"/>
              </w:rPr>
              <w:t>$14,044M</w:t>
            </w:r>
          </w:p>
        </w:tc>
      </w:tr>
      <w:tr>
        <w:tc>
          <w:tcPr>
            <w:tcW w:type="dxa" w:w="5200"/>
            <w:shd w:fill="FAFBFC"/>
            <w:vAlign w:val="center"/>
            <w:tcMar>
              <w:top w:w="80" w:type="dxa"/>
              <w:start w:w="120" w:type="dxa"/>
              <w:bottom w:w="80" w:type="dxa"/>
              <w:end w:w="120" w:type="dxa"/>
            </w:tcMar>
          </w:tcPr>
          <w:p>
            <w:pPr>
              <w:spacing w:after="0"/>
            </w:pPr>
            <w:r>
              <w:rPr>
                <w:rFonts w:ascii="Calibri" w:hAnsi="Calibri"/>
                <w:b/>
                <w:color w:val="000000"/>
                <w:sz w:val="18"/>
              </w:rPr>
              <w:t>P&amp;G adjusted FCF</w:t>
            </w:r>
          </w:p>
        </w:tc>
        <w:tc>
          <w:tcPr>
            <w:tcW w:type="dxa" w:w="4160"/>
            <w:shd w:fill="FAFBFC"/>
            <w:vAlign w:val="center"/>
            <w:tcMar>
              <w:top w:w="80" w:type="dxa"/>
              <w:start w:w="120" w:type="dxa"/>
              <w:bottom w:w="80" w:type="dxa"/>
              <w:end w:w="120" w:type="dxa"/>
            </w:tcMar>
          </w:tcPr>
          <w:p>
            <w:pPr>
              <w:spacing w:after="0"/>
            </w:pPr>
            <w:r>
              <w:rPr>
                <w:rFonts w:ascii="Calibri" w:hAnsi="Calibri"/>
                <w:b w:val="0"/>
                <w:color w:val="000000"/>
                <w:sz w:val="18"/>
              </w:rPr>
              <w:t>$14,606M, non-GAAP</w:t>
            </w:r>
          </w:p>
        </w:tc>
      </w:tr>
      <w:tr>
        <w:tc>
          <w:tcPr>
            <w:tcW w:type="dxa" w:w="5200"/>
            <w:vAlign w:val="center"/>
            <w:tcMar>
              <w:top w:w="80" w:type="dxa"/>
              <w:start w:w="120" w:type="dxa"/>
              <w:bottom w:w="80" w:type="dxa"/>
              <w:end w:w="120" w:type="dxa"/>
            </w:tcMar>
          </w:tcPr>
          <w:p>
            <w:pPr>
              <w:spacing w:after="0"/>
            </w:pPr>
            <w:r>
              <w:rPr>
                <w:rFonts w:ascii="Calibri" w:hAnsi="Calibri"/>
                <w:b/>
                <w:color w:val="000000"/>
                <w:sz w:val="18"/>
              </w:rPr>
              <w:t>Sales CAGR</w:t>
            </w:r>
          </w:p>
        </w:tc>
        <w:tc>
          <w:tcPr>
            <w:tcW w:type="dxa" w:w="4160"/>
            <w:vAlign w:val="center"/>
            <w:tcMar>
              <w:top w:w="80" w:type="dxa"/>
              <w:start w:w="120" w:type="dxa"/>
              <w:bottom w:w="80" w:type="dxa"/>
              <w:end w:w="120" w:type="dxa"/>
            </w:tcMar>
          </w:tcPr>
          <w:p>
            <w:pPr>
              <w:spacing w:after="0"/>
            </w:pPr>
            <w:r>
              <w:rPr>
                <w:rFonts w:ascii="Calibri" w:hAnsi="Calibri"/>
                <w:b w:val="0"/>
                <w:color w:val="000000"/>
                <w:sz w:val="18"/>
              </w:rPr>
              <w:t>2.58%</w:t>
            </w:r>
          </w:p>
        </w:tc>
      </w:tr>
      <w:tr>
        <w:tc>
          <w:tcPr>
            <w:tcW w:type="dxa" w:w="5200"/>
            <w:shd w:fill="FAFBFC"/>
            <w:vAlign w:val="center"/>
            <w:tcMar>
              <w:top w:w="80" w:type="dxa"/>
              <w:start w:w="120" w:type="dxa"/>
              <w:bottom w:w="80" w:type="dxa"/>
              <w:end w:w="120" w:type="dxa"/>
            </w:tcMar>
          </w:tcPr>
          <w:p>
            <w:pPr>
              <w:spacing w:after="0"/>
            </w:pPr>
            <w:r>
              <w:rPr>
                <w:rFonts w:ascii="Calibri" w:hAnsi="Calibri"/>
                <w:b/>
                <w:color w:val="000000"/>
                <w:sz w:val="18"/>
              </w:rPr>
              <w:t>GAAP diluted EPS CAGR</w:t>
            </w:r>
          </w:p>
        </w:tc>
        <w:tc>
          <w:tcPr>
            <w:tcW w:type="dxa" w:w="4160"/>
            <w:shd w:fill="FAFBFC"/>
            <w:vAlign w:val="center"/>
            <w:tcMar>
              <w:top w:w="80" w:type="dxa"/>
              <w:start w:w="120" w:type="dxa"/>
              <w:bottom w:w="80" w:type="dxa"/>
              <w:end w:w="120" w:type="dxa"/>
            </w:tcMar>
          </w:tcPr>
          <w:p>
            <w:pPr>
              <w:spacing w:after="0"/>
            </w:pPr>
            <w:r>
              <w:rPr>
                <w:rFonts w:ascii="Calibri" w:hAnsi="Calibri"/>
                <w:b w:val="0"/>
                <w:color w:val="000000"/>
                <w:sz w:val="18"/>
              </w:rPr>
              <w:t>4.30%</w:t>
            </w:r>
          </w:p>
        </w:tc>
      </w:tr>
      <w:tr>
        <w:tc>
          <w:tcPr>
            <w:tcW w:type="dxa" w:w="5200"/>
            <w:vAlign w:val="center"/>
            <w:tcMar>
              <w:top w:w="80" w:type="dxa"/>
              <w:start w:w="120" w:type="dxa"/>
              <w:bottom w:w="80" w:type="dxa"/>
              <w:end w:w="120" w:type="dxa"/>
            </w:tcMar>
          </w:tcPr>
          <w:p>
            <w:pPr>
              <w:spacing w:after="0"/>
            </w:pPr>
            <w:r>
              <w:rPr>
                <w:rFonts w:ascii="Calibri" w:hAnsi="Calibri"/>
                <w:b/>
                <w:color w:val="000000"/>
                <w:sz w:val="18"/>
              </w:rPr>
              <w:t>Simplified DuPont ROE</w:t>
            </w:r>
          </w:p>
        </w:tc>
        <w:tc>
          <w:tcPr>
            <w:tcW w:type="dxa" w:w="4160"/>
            <w:vAlign w:val="center"/>
            <w:tcMar>
              <w:top w:w="80" w:type="dxa"/>
              <w:start w:w="120" w:type="dxa"/>
              <w:bottom w:w="80" w:type="dxa"/>
              <w:end w:w="120" w:type="dxa"/>
            </w:tcMar>
          </w:tcPr>
          <w:p>
            <w:pPr>
              <w:spacing w:after="0"/>
            </w:pPr>
            <w:r>
              <w:rPr>
                <w:rFonts w:ascii="Calibri" w:hAnsi="Calibri"/>
                <w:b w:val="0"/>
                <w:color w:val="000000"/>
                <w:sz w:val="18"/>
              </w:rPr>
              <w:t>31.24%</w:t>
            </w:r>
          </w:p>
        </w:tc>
      </w:tr>
    </w:tbl>
    <w:p>
      <w:pPr>
        <w:spacing w:after="0"/>
      </w:pPr>
    </w:p>
    <w:p>
      <w:pPr>
        <w:keepNext/>
        <w:jc w:val="center"/>
      </w:pPr>
      <w:r>
        <w:drawing>
          <wp:inline xmlns:a="http://schemas.openxmlformats.org/drawingml/2006/main" xmlns:pic="http://schemas.openxmlformats.org/drawingml/2006/picture">
            <wp:extent cx="5715000" cy="3759868"/>
            <wp:docPr id="1" name="Picture 1"/>
            <wp:cNvGraphicFramePr>
              <a:graphicFrameLocks noChangeAspect="1"/>
            </wp:cNvGraphicFramePr>
            <a:graphic>
              <a:graphicData uri="http://schemas.openxmlformats.org/drawingml/2006/picture">
                <pic:pic>
                  <pic:nvPicPr>
                    <pic:cNvPr id="0" name="PG_Financial_Story_Dashboard.png"/>
                    <pic:cNvPicPr/>
                  </pic:nvPicPr>
                  <pic:blipFill>
                    <a:blip r:embed="rId11"/>
                    <a:stretch>
                      <a:fillRect/>
                    </a:stretch>
                  </pic:blipFill>
                  <pic:spPr>
                    <a:xfrm>
                      <a:off x="0" y="0"/>
                      <a:ext cx="5715000" cy="3759868"/>
                    </a:xfrm>
                    <a:prstGeom prst="rect"/>
                  </pic:spPr>
                </pic:pic>
              </a:graphicData>
            </a:graphic>
          </wp:inline>
        </w:drawing>
      </w:r>
    </w:p>
    <w:p>
      <w:pPr>
        <w:spacing w:before="40" w:after="160"/>
        <w:jc w:val="center"/>
      </w:pPr>
      <w:r>
        <w:rPr>
          <w:rFonts w:ascii="Calibri" w:hAnsi="Calibri"/>
          <w:i/>
          <w:color w:val="4B5563"/>
          <w:sz w:val="17"/>
        </w:rPr>
        <w:t>Verified instructor dashboard. Sources: P&amp;G FY2025 and FY2022 Forms 10-K; figures in the supplied package.</w:t>
      </w:r>
    </w:p>
    <w:sectPr w:rsidR="00FC693F" w:rsidRPr="0006063C" w:rsidSect="00034616">
      <w:headerReference w:type="default" r:id="rId9"/>
      <w:footerReference w:type="default" r:id="rId10"/>
      <w:pgSz w:w="12240" w:h="15840"/>
      <w:pgMar w:top="1152"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B5563"/>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4B5563"/>
        <w:sz w:val="17"/>
      </w:rPr>
      <w:t>FINC 310 | P&amp;G Financial Story | Instructor Teaching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16" w:right="216"/>
    </w:pPr>
    <w:rPr>
      <w:rFonts w:ascii="Consolas" w:hAnsi="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