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200"/>
      </w:pPr>
      <w:r>
        <w:rPr>
          <w:rFonts w:ascii="Calibri" w:hAnsi="Calibri"/>
          <w:b/>
          <w:color w:val="2E74B5"/>
          <w:sz w:val="21"/>
        </w:rPr>
        <w:t>FINC 310 STUDENT GROUP ASSIGNMENT</w:t>
      </w:r>
    </w:p>
    <w:p>
      <w:pPr>
        <w:spacing w:after="160"/>
      </w:pPr>
      <w:r>
        <w:rPr>
          <w:rFonts w:ascii="Calibri" w:hAnsi="Calibri"/>
          <w:b/>
          <w:color w:val="0B2545"/>
          <w:sz w:val="58"/>
        </w:rPr>
        <w:t>Procter &amp; Gamble Financial Story</w:t>
      </w:r>
    </w:p>
    <w:p>
      <w:pPr>
        <w:spacing w:after="480"/>
      </w:pPr>
      <w:r>
        <w:rPr>
          <w:rFonts w:ascii="Calibri" w:hAnsi="Calibri"/>
          <w:color w:val="4B5563"/>
          <w:sz w:val="28"/>
        </w:rPr>
        <w:t>Use audited 10-K data, AI, and Python to explain profit, cash flow, growth, and return on equity.</w:t>
      </w:r>
    </w:p>
    <w:tbl>
      <w:tblPr>
        <w:tblW w:type="dxa" w:w="9360"/>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400"/>
        <w:gridCol w:w="6960"/>
      </w:tblGrid>
      <w:tr>
        <w:tc>
          <w:tcPr>
            <w:tcW w:type="dxa" w:w="2400"/>
            <w:vAlign w:val="center"/>
            <w:tcMar>
              <w:top w:w="80" w:type="dxa"/>
              <w:start w:w="120" w:type="dxa"/>
              <w:bottom w:w="80" w:type="dxa"/>
              <w:end w:w="120" w:type="dxa"/>
            </w:tcMar>
            <w:shd w:fill="E8EEF5"/>
          </w:tcPr>
          <w:p>
            <w:pPr>
              <w:spacing w:after="0"/>
            </w:pPr>
            <w:r>
              <w:rPr>
                <w:rFonts w:ascii="Calibri" w:hAnsi="Calibri"/>
                <w:b/>
                <w:color w:val="0B2545"/>
                <w:sz w:val="20"/>
              </w:rPr>
              <w:t>Company</w:t>
            </w:r>
          </w:p>
        </w:tc>
        <w:tc>
          <w:tcPr>
            <w:tcW w:type="dxa" w:w="6960"/>
            <w:vAlign w:val="center"/>
            <w:tcMar>
              <w:top w:w="80" w:type="dxa"/>
              <w:start w:w="120" w:type="dxa"/>
              <w:bottom w:w="80" w:type="dxa"/>
              <w:end w:w="120" w:type="dxa"/>
            </w:tcMar>
            <w:shd w:fill="F3F8FC"/>
          </w:tcPr>
          <w:p>
            <w:pPr>
              <w:spacing w:after="0"/>
            </w:pPr>
            <w:r>
              <w:rPr>
                <w:rFonts w:ascii="Calibri" w:hAnsi="Calibri"/>
                <w:color w:val="000000"/>
                <w:sz w:val="21"/>
              </w:rPr>
              <w:t>The Procter &amp; Gamble Company (NYSE: PG)</w:t>
            </w:r>
          </w:p>
        </w:tc>
      </w:tr>
      <w:tr>
        <w:tc>
          <w:tcPr>
            <w:tcW w:type="dxa" w:w="2400"/>
            <w:vAlign w:val="center"/>
            <w:tcMar>
              <w:top w:w="80" w:type="dxa"/>
              <w:start w:w="120" w:type="dxa"/>
              <w:bottom w:w="80" w:type="dxa"/>
              <w:end w:w="120" w:type="dxa"/>
            </w:tcMar>
            <w:shd w:fill="E8EEF5"/>
          </w:tcPr>
          <w:p>
            <w:pPr>
              <w:spacing w:after="0"/>
            </w:pPr>
            <w:r>
              <w:rPr>
                <w:rFonts w:ascii="Calibri" w:hAnsi="Calibri"/>
                <w:b/>
                <w:color w:val="0B2545"/>
                <w:sz w:val="20"/>
              </w:rPr>
              <w:t>Team</w:t>
            </w:r>
          </w:p>
        </w:tc>
        <w:tc>
          <w:tcPr>
            <w:tcW w:type="dxa" w:w="6960"/>
            <w:vAlign w:val="center"/>
            <w:tcMar>
              <w:top w:w="80" w:type="dxa"/>
              <w:start w:w="120" w:type="dxa"/>
              <w:bottom w:w="80" w:type="dxa"/>
              <w:end w:w="120" w:type="dxa"/>
            </w:tcMar>
            <w:shd w:fill="F3F8FC"/>
          </w:tcPr>
          <w:p>
            <w:pPr>
              <w:spacing w:after="0"/>
            </w:pPr>
            <w:r>
              <w:rPr>
                <w:rFonts w:ascii="Calibri" w:hAnsi="Calibri"/>
                <w:color w:val="000000"/>
                <w:sz w:val="21"/>
              </w:rPr>
              <w:t>Six roles; combine roles if your team has fewer than six members</w:t>
            </w:r>
          </w:p>
        </w:tc>
      </w:tr>
      <w:tr>
        <w:tc>
          <w:tcPr>
            <w:tcW w:type="dxa" w:w="2400"/>
            <w:vAlign w:val="center"/>
            <w:tcMar>
              <w:top w:w="80" w:type="dxa"/>
              <w:start w:w="120" w:type="dxa"/>
              <w:bottom w:w="80" w:type="dxa"/>
              <w:end w:w="120" w:type="dxa"/>
            </w:tcMar>
            <w:shd w:fill="E8EEF5"/>
          </w:tcPr>
          <w:p>
            <w:pPr>
              <w:spacing w:after="0"/>
            </w:pPr>
            <w:r>
              <w:rPr>
                <w:rFonts w:ascii="Calibri" w:hAnsi="Calibri"/>
                <w:b/>
                <w:color w:val="0B2545"/>
                <w:sz w:val="20"/>
              </w:rPr>
              <w:t>Data</w:t>
            </w:r>
          </w:p>
        </w:tc>
        <w:tc>
          <w:tcPr>
            <w:tcW w:type="dxa" w:w="6960"/>
            <w:vAlign w:val="center"/>
            <w:tcMar>
              <w:top w:w="80" w:type="dxa"/>
              <w:start w:w="120" w:type="dxa"/>
              <w:bottom w:w="80" w:type="dxa"/>
              <w:end w:w="120" w:type="dxa"/>
            </w:tcMar>
            <w:shd w:fill="F3F8FC"/>
          </w:tcPr>
          <w:p>
            <w:pPr>
              <w:spacing w:after="0"/>
            </w:pPr>
            <w:r>
              <w:rPr>
                <w:rFonts w:ascii="Calibri" w:hAnsi="Calibri"/>
                <w:color w:val="000000"/>
                <w:sz w:val="21"/>
              </w:rPr>
              <w:t>Fiscal year ended June 30, 2025; USD millions except EPS</w:t>
            </w:r>
          </w:p>
        </w:tc>
      </w:tr>
      <w:tr>
        <w:tc>
          <w:tcPr>
            <w:tcW w:type="dxa" w:w="2400"/>
            <w:vAlign w:val="center"/>
            <w:tcMar>
              <w:top w:w="80" w:type="dxa"/>
              <w:start w:w="120" w:type="dxa"/>
              <w:bottom w:w="80" w:type="dxa"/>
              <w:end w:w="120" w:type="dxa"/>
            </w:tcMar>
            <w:shd w:fill="E8EEF5"/>
          </w:tcPr>
          <w:p>
            <w:pPr>
              <w:spacing w:after="0"/>
            </w:pPr>
            <w:r>
              <w:rPr>
                <w:rFonts w:ascii="Calibri" w:hAnsi="Calibri"/>
                <w:b/>
                <w:color w:val="0B2545"/>
                <w:sz w:val="20"/>
              </w:rPr>
              <w:t>Outputs</w:t>
            </w:r>
          </w:p>
        </w:tc>
        <w:tc>
          <w:tcPr>
            <w:tcW w:type="dxa" w:w="6960"/>
            <w:vAlign w:val="center"/>
            <w:tcMar>
              <w:top w:w="80" w:type="dxa"/>
              <w:start w:w="120" w:type="dxa"/>
              <w:bottom w:w="80" w:type="dxa"/>
              <w:end w:w="120" w:type="dxa"/>
            </w:tcMar>
            <w:shd w:fill="F3F8FC"/>
          </w:tcPr>
          <w:p>
            <w:pPr>
              <w:spacing w:after="0"/>
            </w:pPr>
            <w:r>
              <w:rPr>
                <w:rFonts w:ascii="Calibri" w:hAnsi="Calibri"/>
                <w:color w:val="000000"/>
                <w:sz w:val="21"/>
              </w:rPr>
              <w:t>Four visualizations, one dashboard, code, AI audit, interpretation, and presentation</w:t>
            </w:r>
          </w:p>
        </w:tc>
      </w:tr>
      <w:tr>
        <w:tc>
          <w:tcPr>
            <w:tcW w:type="dxa" w:w="2400"/>
            <w:vAlign w:val="center"/>
            <w:tcMar>
              <w:top w:w="80" w:type="dxa"/>
              <w:start w:w="120" w:type="dxa"/>
              <w:bottom w:w="80" w:type="dxa"/>
              <w:end w:w="120" w:type="dxa"/>
            </w:tcMar>
            <w:shd w:fill="E8EEF5"/>
          </w:tcPr>
          <w:p>
            <w:pPr>
              <w:spacing w:after="0"/>
            </w:pPr>
            <w:r>
              <w:rPr>
                <w:rFonts w:ascii="Calibri" w:hAnsi="Calibri"/>
                <w:b/>
                <w:color w:val="0B2545"/>
                <w:sz w:val="20"/>
              </w:rPr>
              <w:t>Standard</w:t>
            </w:r>
          </w:p>
        </w:tc>
        <w:tc>
          <w:tcPr>
            <w:tcW w:type="dxa" w:w="6960"/>
            <w:vAlign w:val="center"/>
            <w:tcMar>
              <w:top w:w="80" w:type="dxa"/>
              <w:start w:w="120" w:type="dxa"/>
              <w:bottom w:w="80" w:type="dxa"/>
              <w:end w:w="120" w:type="dxa"/>
            </w:tcMar>
            <w:shd w:fill="F3F8FC"/>
          </w:tcPr>
          <w:p>
            <w:pPr>
              <w:spacing w:after="0"/>
            </w:pPr>
            <w:r>
              <w:rPr>
                <w:rFonts w:ascii="Calibri" w:hAnsi="Calibri"/>
                <w:color w:val="000000"/>
                <w:sz w:val="21"/>
              </w:rPr>
              <w:t>AI use is required, documented, and independently verified</w:t>
            </w:r>
          </w:p>
        </w:tc>
      </w:tr>
    </w:tbl>
    <w:p>
      <w:pPr>
        <w:spacing w:before="560" w:after="0"/>
      </w:pPr>
      <w:r>
        <w:rPr>
          <w:rFonts w:ascii="Calibri" w:hAnsi="Calibri"/>
          <w:b/>
          <w:color w:val="1F4D78"/>
          <w:sz w:val="26"/>
        </w:rPr>
        <w:t>Evidence before elegance. A chart is not finished until it reconciles.</w:t>
      </w:r>
    </w:p>
    <w:p>
      <w:r>
        <w:br w:type="page"/>
      </w:r>
    </w:p>
    <w:p>
      <w:pPr>
        <w:pStyle w:val="Heading1"/>
      </w:pPr>
      <w:r>
        <w:t>Quick Start</w:t>
      </w:r>
    </w:p>
    <w:p>
      <w:r>
        <w:rPr>
          <w:rFonts w:ascii="Calibri" w:hAnsi="Calibri"/>
          <w:b/>
          <w:color w:val="0B2545"/>
          <w:sz w:val="23"/>
        </w:rPr>
        <w:t>Your team will build one financial story through four analytical lenses and prove that every result is reproducible.</w:t>
      </w:r>
    </w:p>
    <w:p>
      <w:pPr>
        <w:pStyle w:val="ListNumber"/>
      </w:pPr>
      <w:r>
        <w:t>Open PG_FinancialStory_Student.xlsx and read the 00_ReadMe and 01_Input worksheets.</w:t>
      </w:r>
    </w:p>
    <w:p>
      <w:pPr>
        <w:pStyle w:val="ListNumber"/>
      </w:pPr>
      <w:r>
        <w:t>Assign the six team roles. Every member remains accountable for the entire submission.</w:t>
      </w:r>
    </w:p>
    <w:p>
      <w:pPr>
        <w:pStyle w:val="ListNumber"/>
      </w:pPr>
      <w:r>
        <w:t>Complete the manual formulas before asking AI to generate code.</w:t>
      </w:r>
    </w:p>
    <w:p>
      <w:pPr>
        <w:pStyle w:val="ListNumber"/>
      </w:pPr>
      <w:r>
        <w:t>Use the required prompt and REM structure to create one executable Python program.</w:t>
      </w:r>
    </w:p>
    <w:p>
      <w:pPr>
        <w:pStyle w:val="ListNumber"/>
      </w:pPr>
      <w:r>
        <w:t>Run the six accounting and finance checks before accepting any chart.</w:t>
      </w:r>
    </w:p>
    <w:p>
      <w:pPr>
        <w:pStyle w:val="ListNumber"/>
      </w:pPr>
      <w:r>
        <w:t>Interpret the four visuals as one integrated financial story, not four disconnected pictures.</w:t>
      </w:r>
    </w:p>
    <w:p>
      <w:pPr>
        <w:pStyle w:val="ListNumber"/>
      </w:pPr>
      <w:r>
        <w:t>Submit the complete package and deliver a five-minute team presentation.</w:t>
      </w:r>
    </w:p>
    <w:tbl>
      <w:tblPr>
        <w:tblW w:type="dxa" w:w="9360"/>
        <w:jc w:val="left"/>
        <w:tblLayout w:type="fixed"/>
        <w:tblLook w:firstColumn="1" w:firstRow="1" w:lastColumn="0" w:lastRow="0" w:noHBand="0" w:noVBand="1" w:val="04A0"/>
        <w:tblInd w:w="120" w:type="dxa"/>
        <w:tblBorders>
          <w:top w:val="single" w:sz="1" w:space="0" w:color="FFF4CC"/>
          <w:left w:val="single" w:sz="1" w:space="0" w:color="FFF4CC"/>
          <w:bottom w:val="single" w:sz="1" w:space="0" w:color="FFF4CC"/>
          <w:right w:val="single" w:sz="1" w:space="0" w:color="FFF4CC"/>
          <w:insideH w:val="single" w:sz="1" w:space="0" w:color="FFF4CC"/>
          <w:insideV w:val="single" w:sz="1" w:space="0" w:color="FFF4CC"/>
        </w:tblBorders>
      </w:tblPr>
      <w:tblGrid>
        <w:gridCol w:w="9360"/>
      </w:tblGrid>
      <w:tr>
        <w:tc>
          <w:tcPr>
            <w:tcW w:type="dxa" w:w="9360"/>
            <w:vAlign w:val="center"/>
            <w:tcMar>
              <w:top w:w="80" w:type="dxa"/>
              <w:start w:w="120" w:type="dxa"/>
              <w:bottom w:w="80" w:type="dxa"/>
              <w:end w:w="120" w:type="dxa"/>
            </w:tcMar>
            <w:shd w:fill="FFF4CC"/>
          </w:tcPr>
          <w:p>
            <w:pPr>
              <w:spacing w:after="0"/>
            </w:pPr>
            <w:r>
              <w:rPr>
                <w:rFonts w:ascii="Calibri" w:hAnsi="Calibri"/>
                <w:b/>
                <w:color w:val="7A5A00"/>
                <w:sz w:val="21"/>
              </w:rPr>
              <w:t xml:space="preserve">Non-negotiable standard: </w:t>
            </w:r>
            <w:r>
              <w:rPr>
                <w:rFonts w:ascii="Calibri" w:hAnsi="Calibri"/>
                <w:color w:val="000000"/>
                <w:sz w:val="21"/>
              </w:rPr>
              <w:t>A polished chart that does not reconcile to audited data is unacceptable. Correct code that no team member can explain is also unacceptable.</w:t>
            </w:r>
          </w:p>
        </w:tc>
      </w:tr>
    </w:tbl>
    <w:p>
      <w:pPr>
        <w:spacing w:after="0"/>
      </w:pPr>
    </w:p>
    <w:p>
      <w:pPr>
        <w:pStyle w:val="Heading1"/>
      </w:pPr>
      <w:r>
        <w:t>1. Project Overview</w:t>
      </w:r>
    </w:p>
    <w:p>
      <w:r>
        <w:t>P&amp;G is a public company whose financial statements connect operating decisions to cash flow, financing, risk, and shareholder value. Your team will use the supplied standardized workbook and audited annual report to create four complementary visualizations: an income statement Sankey, a free cash flow waterfall, a five-year revenue and EPS trend, and a DuPont ROE decomposition.</w:t>
      </w:r>
    </w:p>
    <w:p>
      <w:r>
        <w:t>The four visuals must tell one story. The Sankey explains where sales dollars went. The waterfall explains how operating profit becomes several definitions of free cash flow. The trend shows how the business changed over five fiscal years. DuPont explains whether ROE comes from profitability, asset use, or leverage.</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3000"/>
        <w:gridCol w:w="6360"/>
      </w:tblGrid>
      <w:tr>
        <w:trPr>
          <w:tblHeader w:val="true"/>
        </w:trPr>
        <w:tc>
          <w:tcPr>
            <w:tcW w:type="dxa" w:w="3000"/>
            <w:vAlign w:val="center"/>
            <w:tcMar>
              <w:top w:w="80" w:type="dxa"/>
              <w:start w:w="120" w:type="dxa"/>
              <w:bottom w:w="80" w:type="dxa"/>
              <w:end w:w="120" w:type="dxa"/>
            </w:tcMar>
            <w:shd w:fill="E8EEF5"/>
          </w:tcPr>
          <w:p>
            <w:pPr>
              <w:spacing w:after="0"/>
            </w:pPr>
            <w:r>
              <w:rPr>
                <w:rFonts w:ascii="Calibri" w:hAnsi="Calibri"/>
                <w:b/>
                <w:color w:val="0B2545"/>
                <w:sz w:val="19"/>
              </w:rPr>
              <w:t>Question</w:t>
            </w:r>
          </w:p>
        </w:tc>
        <w:tc>
          <w:tcPr>
            <w:tcW w:type="dxa" w:w="6360"/>
            <w:vAlign w:val="center"/>
            <w:tcMar>
              <w:top w:w="80" w:type="dxa"/>
              <w:start w:w="120" w:type="dxa"/>
              <w:bottom w:w="80" w:type="dxa"/>
              <w:end w:w="120" w:type="dxa"/>
            </w:tcMar>
            <w:shd w:fill="E8EEF5"/>
          </w:tcPr>
          <w:p>
            <w:pPr>
              <w:spacing w:after="0"/>
            </w:pPr>
            <w:r>
              <w:rPr>
                <w:rFonts w:ascii="Calibri" w:hAnsi="Calibri"/>
                <w:b/>
                <w:color w:val="0B2545"/>
                <w:sz w:val="19"/>
              </w:rPr>
              <w:t>Evidence your team must produce</w:t>
            </w:r>
          </w:p>
        </w:tc>
      </w:tr>
      <w:tr>
        <w:tc>
          <w:tcPr>
            <w:tcW w:type="dxa" w:w="3000"/>
            <w:vAlign w:val="center"/>
            <w:tcMar>
              <w:top w:w="80" w:type="dxa"/>
              <w:start w:w="120" w:type="dxa"/>
              <w:bottom w:w="80" w:type="dxa"/>
              <w:end w:w="120" w:type="dxa"/>
            </w:tcMar>
          </w:tcPr>
          <w:p>
            <w:pPr>
              <w:spacing w:after="0"/>
            </w:pPr>
            <w:r>
              <w:rPr>
                <w:rFonts w:ascii="Calibri" w:hAnsi="Calibri"/>
                <w:b/>
                <w:color w:val="000000"/>
                <w:sz w:val="19"/>
              </w:rPr>
              <w:t>How profitable is the business?</w:t>
            </w:r>
          </w:p>
        </w:tc>
        <w:tc>
          <w:tcPr>
            <w:tcW w:type="dxa" w:w="6360"/>
            <w:vAlign w:val="center"/>
            <w:tcMar>
              <w:top w:w="80" w:type="dxa"/>
              <w:start w:w="120" w:type="dxa"/>
              <w:bottom w:w="80" w:type="dxa"/>
              <w:end w:w="120" w:type="dxa"/>
            </w:tcMar>
          </w:tcPr>
          <w:p>
            <w:pPr>
              <w:spacing w:after="0"/>
            </w:pPr>
            <w:r>
              <w:rPr>
                <w:rFonts w:ascii="Calibri" w:hAnsi="Calibri"/>
                <w:b w:val="0"/>
                <w:color w:val="000000"/>
                <w:sz w:val="19"/>
              </w:rPr>
              <w:t>A reconciled income statement flow with dollar and common-size labels.</w:t>
            </w:r>
          </w:p>
        </w:tc>
      </w:tr>
      <w:tr>
        <w:tc>
          <w:tcPr>
            <w:tcW w:type="dxa" w:w="3000"/>
            <w:shd w:fill="FAFBFC"/>
            <w:vAlign w:val="center"/>
            <w:tcMar>
              <w:top w:w="80" w:type="dxa"/>
              <w:start w:w="120" w:type="dxa"/>
              <w:bottom w:w="80" w:type="dxa"/>
              <w:end w:w="120" w:type="dxa"/>
            </w:tcMar>
          </w:tcPr>
          <w:p>
            <w:pPr>
              <w:spacing w:after="0"/>
            </w:pPr>
            <w:r>
              <w:rPr>
                <w:rFonts w:ascii="Calibri" w:hAnsi="Calibri"/>
                <w:b/>
                <w:color w:val="000000"/>
                <w:sz w:val="19"/>
              </w:rPr>
              <w:t>How much cash is available after investment?</w:t>
            </w:r>
          </w:p>
        </w:tc>
        <w:tc>
          <w:tcPr>
            <w:tcW w:type="dxa" w:w="6360"/>
            <w:shd w:fill="FAFBFC"/>
            <w:vAlign w:val="center"/>
            <w:tcMar>
              <w:top w:w="80" w:type="dxa"/>
              <w:start w:w="120" w:type="dxa"/>
              <w:bottom w:w="80" w:type="dxa"/>
              <w:end w:w="120" w:type="dxa"/>
            </w:tcMar>
          </w:tcPr>
          <w:p>
            <w:pPr>
              <w:spacing w:after="0"/>
            </w:pPr>
            <w:r>
              <w:rPr>
                <w:rFonts w:ascii="Calibri" w:hAnsi="Calibri"/>
                <w:b w:val="0"/>
                <w:color w:val="000000"/>
                <w:sz w:val="19"/>
              </w:rPr>
              <w:t>A transparent bridge among textbook FCF, cash FCF, and P&amp;G adjusted FCF.</w:t>
            </w:r>
          </w:p>
        </w:tc>
      </w:tr>
      <w:tr>
        <w:tc>
          <w:tcPr>
            <w:tcW w:type="dxa" w:w="3000"/>
            <w:vAlign w:val="center"/>
            <w:tcMar>
              <w:top w:w="80" w:type="dxa"/>
              <w:start w:w="120" w:type="dxa"/>
              <w:bottom w:w="80" w:type="dxa"/>
              <w:end w:w="120" w:type="dxa"/>
            </w:tcMar>
          </w:tcPr>
          <w:p>
            <w:pPr>
              <w:spacing w:after="0"/>
            </w:pPr>
            <w:r>
              <w:rPr>
                <w:rFonts w:ascii="Calibri" w:hAnsi="Calibri"/>
                <w:b/>
                <w:color w:val="000000"/>
                <w:sz w:val="19"/>
              </w:rPr>
              <w:t>What changed over time?</w:t>
            </w:r>
          </w:p>
        </w:tc>
        <w:tc>
          <w:tcPr>
            <w:tcW w:type="dxa" w:w="6360"/>
            <w:vAlign w:val="center"/>
            <w:tcMar>
              <w:top w:w="80" w:type="dxa"/>
              <w:start w:w="120" w:type="dxa"/>
              <w:bottom w:w="80" w:type="dxa"/>
              <w:end w:w="120" w:type="dxa"/>
            </w:tcMar>
          </w:tcPr>
          <w:p>
            <w:pPr>
              <w:spacing w:after="0"/>
            </w:pPr>
            <w:r>
              <w:rPr>
                <w:rFonts w:ascii="Calibri" w:hAnsi="Calibri"/>
                <w:b w:val="0"/>
                <w:color w:val="000000"/>
                <w:sz w:val="19"/>
              </w:rPr>
              <w:t>FY2021-FY2025 net sales and GAAP diluted EPS with four-interval CAGRs.</w:t>
            </w:r>
          </w:p>
        </w:tc>
      </w:tr>
      <w:tr>
        <w:tc>
          <w:tcPr>
            <w:tcW w:type="dxa" w:w="3000"/>
            <w:shd w:fill="FAFBFC"/>
            <w:vAlign w:val="center"/>
            <w:tcMar>
              <w:top w:w="80" w:type="dxa"/>
              <w:start w:w="120" w:type="dxa"/>
              <w:bottom w:w="80" w:type="dxa"/>
              <w:end w:w="120" w:type="dxa"/>
            </w:tcMar>
          </w:tcPr>
          <w:p>
            <w:pPr>
              <w:spacing w:after="0"/>
            </w:pPr>
            <w:r>
              <w:rPr>
                <w:rFonts w:ascii="Calibri" w:hAnsi="Calibri"/>
                <w:b/>
                <w:color w:val="000000"/>
                <w:sz w:val="19"/>
              </w:rPr>
              <w:t>What drives shareholder return?</w:t>
            </w:r>
          </w:p>
        </w:tc>
        <w:tc>
          <w:tcPr>
            <w:tcW w:type="dxa" w:w="6360"/>
            <w:shd w:fill="FAFBFC"/>
            <w:vAlign w:val="center"/>
            <w:tcMar>
              <w:top w:w="80" w:type="dxa"/>
              <w:start w:w="120" w:type="dxa"/>
              <w:bottom w:w="80" w:type="dxa"/>
              <w:end w:w="120" w:type="dxa"/>
            </w:tcMar>
          </w:tcPr>
          <w:p>
            <w:pPr>
              <w:spacing w:after="0"/>
            </w:pPr>
            <w:r>
              <w:rPr>
                <w:rFonts w:ascii="Calibri" w:hAnsi="Calibri"/>
                <w:b w:val="0"/>
                <w:color w:val="000000"/>
                <w:sz w:val="19"/>
              </w:rPr>
              <w:t>Profit margin x asset turnover x equity multiplier = direct ROE.</w:t>
            </w:r>
          </w:p>
        </w:tc>
      </w:tr>
      <w:tr>
        <w:tc>
          <w:tcPr>
            <w:tcW w:type="dxa" w:w="3000"/>
            <w:vAlign w:val="center"/>
            <w:tcMar>
              <w:top w:w="80" w:type="dxa"/>
              <w:start w:w="120" w:type="dxa"/>
              <w:bottom w:w="80" w:type="dxa"/>
              <w:end w:w="120" w:type="dxa"/>
            </w:tcMar>
          </w:tcPr>
          <w:p>
            <w:pPr>
              <w:spacing w:after="0"/>
            </w:pPr>
            <w:r>
              <w:rPr>
                <w:rFonts w:ascii="Calibri" w:hAnsi="Calibri"/>
                <w:b/>
                <w:color w:val="000000"/>
                <w:sz w:val="19"/>
              </w:rPr>
              <w:t>Can we trust the result?</w:t>
            </w:r>
          </w:p>
        </w:tc>
        <w:tc>
          <w:tcPr>
            <w:tcW w:type="dxa" w:w="6360"/>
            <w:vAlign w:val="center"/>
            <w:tcMar>
              <w:top w:w="80" w:type="dxa"/>
              <w:start w:w="120" w:type="dxa"/>
              <w:bottom w:w="80" w:type="dxa"/>
              <w:end w:w="120" w:type="dxa"/>
            </w:tcMar>
          </w:tcPr>
          <w:p>
            <w:pPr>
              <w:spacing w:after="0"/>
            </w:pPr>
            <w:r>
              <w:rPr>
                <w:rFonts w:ascii="Calibri" w:hAnsi="Calibri"/>
                <w:b w:val="0"/>
                <w:color w:val="000000"/>
                <w:sz w:val="19"/>
              </w:rPr>
              <w:t>Source tracing, formula checks, code checks, visual checks, and a documented human correction.</w:t>
            </w:r>
          </w:p>
        </w:tc>
      </w:tr>
    </w:tbl>
    <w:p>
      <w:pPr>
        <w:spacing w:after="0"/>
      </w:pPr>
    </w:p>
    <w:p>
      <w:pPr>
        <w:pStyle w:val="Heading1"/>
      </w:pPr>
      <w:r>
        <w:t>2. Team Structure and Individual Accountability</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1900"/>
        <w:gridCol w:w="4200"/>
        <w:gridCol w:w="3260"/>
      </w:tblGrid>
      <w:tr>
        <w:trPr>
          <w:tblHeader w:val="true"/>
        </w:trPr>
        <w:tc>
          <w:tcPr>
            <w:tcW w:type="dxa" w:w="1900"/>
            <w:vAlign w:val="center"/>
            <w:tcMar>
              <w:top w:w="80" w:type="dxa"/>
              <w:start w:w="120" w:type="dxa"/>
              <w:bottom w:w="80" w:type="dxa"/>
              <w:end w:w="120" w:type="dxa"/>
            </w:tcMar>
            <w:shd w:fill="E8EEF5"/>
          </w:tcPr>
          <w:p>
            <w:pPr>
              <w:spacing w:after="0"/>
            </w:pPr>
            <w:r>
              <w:rPr>
                <w:rFonts w:ascii="Calibri" w:hAnsi="Calibri"/>
                <w:b/>
                <w:color w:val="0B2545"/>
                <w:sz w:val="17"/>
              </w:rPr>
              <w:t>Role</w:t>
            </w:r>
          </w:p>
        </w:tc>
        <w:tc>
          <w:tcPr>
            <w:tcW w:type="dxa" w:w="4200"/>
            <w:vAlign w:val="center"/>
            <w:tcMar>
              <w:top w:w="80" w:type="dxa"/>
              <w:start w:w="120" w:type="dxa"/>
              <w:bottom w:w="80" w:type="dxa"/>
              <w:end w:w="120" w:type="dxa"/>
            </w:tcMar>
            <w:shd w:fill="E8EEF5"/>
          </w:tcPr>
          <w:p>
            <w:pPr>
              <w:spacing w:after="0"/>
            </w:pPr>
            <w:r>
              <w:rPr>
                <w:rFonts w:ascii="Calibri" w:hAnsi="Calibri"/>
                <w:b/>
                <w:color w:val="0B2545"/>
                <w:sz w:val="17"/>
              </w:rPr>
              <w:t>Primary responsibility</w:t>
            </w:r>
          </w:p>
        </w:tc>
        <w:tc>
          <w:tcPr>
            <w:tcW w:type="dxa" w:w="3260"/>
            <w:vAlign w:val="center"/>
            <w:tcMar>
              <w:top w:w="80" w:type="dxa"/>
              <w:start w:w="120" w:type="dxa"/>
              <w:bottom w:w="80" w:type="dxa"/>
              <w:end w:w="120" w:type="dxa"/>
            </w:tcMar>
            <w:shd w:fill="E8EEF5"/>
          </w:tcPr>
          <w:p>
            <w:pPr>
              <w:spacing w:after="0"/>
            </w:pPr>
            <w:r>
              <w:rPr>
                <w:rFonts w:ascii="Calibri" w:hAnsi="Calibri"/>
                <w:b/>
                <w:color w:val="0B2545"/>
                <w:sz w:val="17"/>
              </w:rPr>
              <w:t>Required cross-check</w:t>
            </w:r>
          </w:p>
        </w:tc>
      </w:tr>
      <w:tr>
        <w:tc>
          <w:tcPr>
            <w:tcW w:type="dxa" w:w="1900"/>
            <w:vAlign w:val="center"/>
            <w:tcMar>
              <w:top w:w="80" w:type="dxa"/>
              <w:start w:w="120" w:type="dxa"/>
              <w:bottom w:w="80" w:type="dxa"/>
              <w:end w:w="120" w:type="dxa"/>
            </w:tcMar>
          </w:tcPr>
          <w:p>
            <w:pPr>
              <w:spacing w:after="0"/>
            </w:pPr>
            <w:r>
              <w:rPr>
                <w:rFonts w:ascii="Calibri" w:hAnsi="Calibri"/>
                <w:b w:val="0"/>
                <w:color w:val="000000"/>
                <w:sz w:val="17"/>
              </w:rPr>
              <w:t>Data Controller</w:t>
            </w:r>
          </w:p>
        </w:tc>
        <w:tc>
          <w:tcPr>
            <w:tcW w:type="dxa" w:w="4200"/>
            <w:vAlign w:val="center"/>
            <w:tcMar>
              <w:top w:w="80" w:type="dxa"/>
              <w:start w:w="120" w:type="dxa"/>
              <w:bottom w:w="80" w:type="dxa"/>
              <w:end w:w="120" w:type="dxa"/>
            </w:tcMar>
          </w:tcPr>
          <w:p>
            <w:pPr>
              <w:spacing w:after="0"/>
            </w:pPr>
            <w:r>
              <w:rPr>
                <w:rFonts w:ascii="Calibri" w:hAnsi="Calibri"/>
                <w:b w:val="0"/>
                <w:color w:val="000000"/>
                <w:sz w:val="17"/>
              </w:rPr>
              <w:t>Confirms source pages, fiscal years, units, signs, and Metric_ID labels.</w:t>
            </w:r>
          </w:p>
        </w:tc>
        <w:tc>
          <w:tcPr>
            <w:tcW w:type="dxa" w:w="3260"/>
            <w:vAlign w:val="center"/>
            <w:tcMar>
              <w:top w:w="80" w:type="dxa"/>
              <w:start w:w="120" w:type="dxa"/>
              <w:bottom w:w="80" w:type="dxa"/>
              <w:end w:w="120" w:type="dxa"/>
            </w:tcMar>
          </w:tcPr>
          <w:p>
            <w:pPr>
              <w:spacing w:after="0"/>
            </w:pPr>
            <w:r>
              <w:rPr>
                <w:rFonts w:ascii="Calibri" w:hAnsi="Calibri"/>
                <w:b w:val="0"/>
                <w:color w:val="000000"/>
                <w:sz w:val="17"/>
              </w:rPr>
              <w:t>Trace one number in every visual to 01_Input and the 10-K.</w:t>
            </w:r>
          </w:p>
        </w:tc>
      </w:tr>
      <w:tr>
        <w:tc>
          <w:tcPr>
            <w:tcW w:type="dxa" w:w="1900"/>
            <w:shd w:fill="FAFBFC"/>
            <w:vAlign w:val="center"/>
            <w:tcMar>
              <w:top w:w="80" w:type="dxa"/>
              <w:start w:w="120" w:type="dxa"/>
              <w:bottom w:w="80" w:type="dxa"/>
              <w:end w:w="120" w:type="dxa"/>
            </w:tcMar>
          </w:tcPr>
          <w:p>
            <w:pPr>
              <w:spacing w:after="0"/>
            </w:pPr>
            <w:r>
              <w:rPr>
                <w:rFonts w:ascii="Calibri" w:hAnsi="Calibri"/>
                <w:b w:val="0"/>
                <w:color w:val="000000"/>
                <w:sz w:val="17"/>
              </w:rPr>
              <w:t>Income Statement Lead</w:t>
            </w:r>
          </w:p>
        </w:tc>
        <w:tc>
          <w:tcPr>
            <w:tcW w:type="dxa" w:w="4200"/>
            <w:shd w:fill="FAFBFC"/>
            <w:vAlign w:val="center"/>
            <w:tcMar>
              <w:top w:w="80" w:type="dxa"/>
              <w:start w:w="120" w:type="dxa"/>
              <w:bottom w:w="80" w:type="dxa"/>
              <w:end w:w="120" w:type="dxa"/>
            </w:tcMar>
          </w:tcPr>
          <w:p>
            <w:pPr>
              <w:spacing w:after="0"/>
            </w:pPr>
            <w:r>
              <w:rPr>
                <w:rFonts w:ascii="Calibri" w:hAnsi="Calibri"/>
                <w:b w:val="0"/>
                <w:color w:val="000000"/>
                <w:sz w:val="17"/>
              </w:rPr>
              <w:t>Builds and explains the Sankey and common-size margins.</w:t>
            </w:r>
          </w:p>
        </w:tc>
        <w:tc>
          <w:tcPr>
            <w:tcW w:type="dxa" w:w="3260"/>
            <w:shd w:fill="FAFBFC"/>
            <w:vAlign w:val="center"/>
            <w:tcMar>
              <w:top w:w="80" w:type="dxa"/>
              <w:start w:w="120" w:type="dxa"/>
              <w:bottom w:w="80" w:type="dxa"/>
              <w:end w:w="120" w:type="dxa"/>
            </w:tcMar>
          </w:tcPr>
          <w:p>
            <w:pPr>
              <w:spacing w:after="0"/>
            </w:pPr>
            <w:r>
              <w:rPr>
                <w:rFonts w:ascii="Calibri" w:hAnsi="Calibri"/>
                <w:b w:val="0"/>
                <w:color w:val="000000"/>
                <w:sz w:val="17"/>
              </w:rPr>
              <w:t>Recalculate one FCF subtotal and one DuPont factor.</w:t>
            </w:r>
          </w:p>
        </w:tc>
      </w:tr>
      <w:tr>
        <w:tc>
          <w:tcPr>
            <w:tcW w:type="dxa" w:w="1900"/>
            <w:vAlign w:val="center"/>
            <w:tcMar>
              <w:top w:w="80" w:type="dxa"/>
              <w:start w:w="120" w:type="dxa"/>
              <w:bottom w:w="80" w:type="dxa"/>
              <w:end w:w="120" w:type="dxa"/>
            </w:tcMar>
          </w:tcPr>
          <w:p>
            <w:pPr>
              <w:spacing w:after="0"/>
            </w:pPr>
            <w:r>
              <w:rPr>
                <w:rFonts w:ascii="Calibri" w:hAnsi="Calibri"/>
                <w:b w:val="0"/>
                <w:color w:val="000000"/>
                <w:sz w:val="17"/>
              </w:rPr>
              <w:t>Cash Flow Lead</w:t>
            </w:r>
          </w:p>
        </w:tc>
        <w:tc>
          <w:tcPr>
            <w:tcW w:type="dxa" w:w="4200"/>
            <w:vAlign w:val="center"/>
            <w:tcMar>
              <w:top w:w="80" w:type="dxa"/>
              <w:start w:w="120" w:type="dxa"/>
              <w:bottom w:w="80" w:type="dxa"/>
              <w:end w:w="120" w:type="dxa"/>
            </w:tcMar>
          </w:tcPr>
          <w:p>
            <w:pPr>
              <w:spacing w:after="0"/>
            </w:pPr>
            <w:r>
              <w:rPr>
                <w:rFonts w:ascii="Calibri" w:hAnsi="Calibri"/>
                <w:b w:val="0"/>
                <w:color w:val="000000"/>
                <w:sz w:val="17"/>
              </w:rPr>
              <w:t>Builds NOPAT, NOWC, textbook FCF, cash FCF, and the reconciliation.</w:t>
            </w:r>
          </w:p>
        </w:tc>
        <w:tc>
          <w:tcPr>
            <w:tcW w:type="dxa" w:w="3260"/>
            <w:vAlign w:val="center"/>
            <w:tcMar>
              <w:top w:w="80" w:type="dxa"/>
              <w:start w:w="120" w:type="dxa"/>
              <w:bottom w:w="80" w:type="dxa"/>
              <w:end w:w="120" w:type="dxa"/>
            </w:tcMar>
          </w:tcPr>
          <w:p>
            <w:pPr>
              <w:spacing w:after="0"/>
            </w:pPr>
            <w:r>
              <w:rPr>
                <w:rFonts w:ascii="Calibri" w:hAnsi="Calibri"/>
                <w:b w:val="0"/>
                <w:color w:val="000000"/>
                <w:sz w:val="17"/>
              </w:rPr>
              <w:t>Audit a Sankey node and the CAGR exponent.</w:t>
            </w:r>
          </w:p>
        </w:tc>
      </w:tr>
      <w:tr>
        <w:tc>
          <w:tcPr>
            <w:tcW w:type="dxa" w:w="1900"/>
            <w:shd w:fill="FAFBFC"/>
            <w:vAlign w:val="center"/>
            <w:tcMar>
              <w:top w:w="80" w:type="dxa"/>
              <w:start w:w="120" w:type="dxa"/>
              <w:bottom w:w="80" w:type="dxa"/>
              <w:end w:w="120" w:type="dxa"/>
            </w:tcMar>
          </w:tcPr>
          <w:p>
            <w:pPr>
              <w:spacing w:after="0"/>
            </w:pPr>
            <w:r>
              <w:rPr>
                <w:rFonts w:ascii="Calibri" w:hAnsi="Calibri"/>
                <w:b w:val="0"/>
                <w:color w:val="000000"/>
                <w:sz w:val="17"/>
              </w:rPr>
              <w:t>Trend and DuPont Lead</w:t>
            </w:r>
          </w:p>
        </w:tc>
        <w:tc>
          <w:tcPr>
            <w:tcW w:type="dxa" w:w="4200"/>
            <w:shd w:fill="FAFBFC"/>
            <w:vAlign w:val="center"/>
            <w:tcMar>
              <w:top w:w="80" w:type="dxa"/>
              <w:start w:w="120" w:type="dxa"/>
              <w:bottom w:w="80" w:type="dxa"/>
              <w:end w:w="120" w:type="dxa"/>
            </w:tcMar>
          </w:tcPr>
          <w:p>
            <w:pPr>
              <w:spacing w:after="0"/>
            </w:pPr>
            <w:r>
              <w:rPr>
                <w:rFonts w:ascii="Calibri" w:hAnsi="Calibri"/>
                <w:b w:val="0"/>
                <w:color w:val="000000"/>
                <w:sz w:val="17"/>
              </w:rPr>
              <w:t>Builds the five-year trend, CAGRs, and ROE decomposition.</w:t>
            </w:r>
          </w:p>
        </w:tc>
        <w:tc>
          <w:tcPr>
            <w:tcW w:type="dxa" w:w="3260"/>
            <w:shd w:fill="FAFBFC"/>
            <w:vAlign w:val="center"/>
            <w:tcMar>
              <w:top w:w="80" w:type="dxa"/>
              <w:start w:w="120" w:type="dxa"/>
              <w:bottom w:w="80" w:type="dxa"/>
              <w:end w:w="120" w:type="dxa"/>
            </w:tcMar>
          </w:tcPr>
          <w:p>
            <w:pPr>
              <w:spacing w:after="0"/>
            </w:pPr>
            <w:r>
              <w:rPr>
                <w:rFonts w:ascii="Calibri" w:hAnsi="Calibri"/>
                <w:b w:val="0"/>
                <w:color w:val="000000"/>
                <w:sz w:val="17"/>
              </w:rPr>
              <w:t>Audit the CapEx sign and adjusted FCF label.</w:t>
            </w:r>
          </w:p>
        </w:tc>
      </w:tr>
      <w:tr>
        <w:tc>
          <w:tcPr>
            <w:tcW w:type="dxa" w:w="1900"/>
            <w:vAlign w:val="center"/>
            <w:tcMar>
              <w:top w:w="80" w:type="dxa"/>
              <w:start w:w="120" w:type="dxa"/>
              <w:bottom w:w="80" w:type="dxa"/>
              <w:end w:w="120" w:type="dxa"/>
            </w:tcMar>
          </w:tcPr>
          <w:p>
            <w:pPr>
              <w:spacing w:after="0"/>
            </w:pPr>
            <w:r>
              <w:rPr>
                <w:rFonts w:ascii="Calibri" w:hAnsi="Calibri"/>
                <w:b w:val="0"/>
                <w:color w:val="000000"/>
                <w:sz w:val="17"/>
              </w:rPr>
              <w:t>Python/AI Lead</w:t>
            </w:r>
          </w:p>
        </w:tc>
        <w:tc>
          <w:tcPr>
            <w:tcW w:type="dxa" w:w="4200"/>
            <w:vAlign w:val="center"/>
            <w:tcMar>
              <w:top w:w="80" w:type="dxa"/>
              <w:start w:w="120" w:type="dxa"/>
              <w:bottom w:w="80" w:type="dxa"/>
              <w:end w:w="120" w:type="dxa"/>
            </w:tcMar>
          </w:tcPr>
          <w:p>
            <w:pPr>
              <w:spacing w:after="0"/>
            </w:pPr>
            <w:r>
              <w:rPr>
                <w:rFonts w:ascii="Calibri" w:hAnsi="Calibri"/>
                <w:b w:val="0"/>
                <w:color w:val="000000"/>
                <w:sz w:val="17"/>
              </w:rPr>
              <w:t>Maintains the executable program, prompt history, and REM comments.</w:t>
            </w:r>
          </w:p>
        </w:tc>
        <w:tc>
          <w:tcPr>
            <w:tcW w:type="dxa" w:w="3260"/>
            <w:vAlign w:val="center"/>
            <w:tcMar>
              <w:top w:w="80" w:type="dxa"/>
              <w:start w:w="120" w:type="dxa"/>
              <w:bottom w:w="80" w:type="dxa"/>
              <w:end w:w="120" w:type="dxa"/>
            </w:tcMar>
          </w:tcPr>
          <w:p>
            <w:pPr>
              <w:spacing w:after="0"/>
            </w:pPr>
            <w:r>
              <w:rPr>
                <w:rFonts w:ascii="Calibri" w:hAnsi="Calibri"/>
                <w:b w:val="0"/>
                <w:color w:val="000000"/>
                <w:sz w:val="17"/>
              </w:rPr>
              <w:t>Explain the finance meaning of all four visuals.</w:t>
            </w:r>
          </w:p>
        </w:tc>
      </w:tr>
      <w:tr>
        <w:tc>
          <w:tcPr>
            <w:tcW w:type="dxa" w:w="1900"/>
            <w:shd w:fill="FAFBFC"/>
            <w:vAlign w:val="center"/>
            <w:tcMar>
              <w:top w:w="80" w:type="dxa"/>
              <w:start w:w="120" w:type="dxa"/>
              <w:bottom w:w="80" w:type="dxa"/>
              <w:end w:w="120" w:type="dxa"/>
            </w:tcMar>
          </w:tcPr>
          <w:p>
            <w:pPr>
              <w:spacing w:after="0"/>
            </w:pPr>
            <w:r>
              <w:rPr>
                <w:rFonts w:ascii="Calibri" w:hAnsi="Calibri"/>
                <w:b w:val="0"/>
                <w:color w:val="000000"/>
                <w:sz w:val="17"/>
              </w:rPr>
              <w:t>Audit/Presentation Lead</w:t>
            </w:r>
          </w:p>
        </w:tc>
        <w:tc>
          <w:tcPr>
            <w:tcW w:type="dxa" w:w="4200"/>
            <w:shd w:fill="FAFBFC"/>
            <w:vAlign w:val="center"/>
            <w:tcMar>
              <w:top w:w="80" w:type="dxa"/>
              <w:start w:w="120" w:type="dxa"/>
              <w:bottom w:w="80" w:type="dxa"/>
              <w:end w:w="120" w:type="dxa"/>
            </w:tcMar>
          </w:tcPr>
          <w:p>
            <w:pPr>
              <w:spacing w:after="0"/>
            </w:pPr>
            <w:r>
              <w:rPr>
                <w:rFonts w:ascii="Calibri" w:hAnsi="Calibri"/>
                <w:b w:val="0"/>
                <w:color w:val="000000"/>
                <w:sz w:val="17"/>
              </w:rPr>
              <w:t>Coordinates verification, corrections, executive story, and presentation.</w:t>
            </w:r>
          </w:p>
        </w:tc>
        <w:tc>
          <w:tcPr>
            <w:tcW w:type="dxa" w:w="3260"/>
            <w:shd w:fill="FAFBFC"/>
            <w:vAlign w:val="center"/>
            <w:tcMar>
              <w:top w:w="80" w:type="dxa"/>
              <w:start w:w="120" w:type="dxa"/>
              <w:bottom w:w="80" w:type="dxa"/>
              <w:end w:w="120" w:type="dxa"/>
            </w:tcMar>
          </w:tcPr>
          <w:p>
            <w:pPr>
              <w:spacing w:after="0"/>
            </w:pPr>
            <w:r>
              <w:rPr>
                <w:rFonts w:ascii="Calibri" w:hAnsi="Calibri"/>
                <w:b w:val="0"/>
                <w:color w:val="000000"/>
                <w:sz w:val="17"/>
              </w:rPr>
              <w:t>Run the code and trace at least one formula end to end.</w:t>
            </w:r>
          </w:p>
        </w:tc>
      </w:tr>
    </w:tbl>
    <w:p>
      <w:pPr>
        <w:spacing w:after="0"/>
      </w:pPr>
    </w:p>
    <w:p>
      <w:pPr>
        <w:pStyle w:val="ListBullet"/>
      </w:pPr>
      <w:r>
        <w:t>If your team has fewer than six students, combine adjacent roles; do not remove responsibilities.</w:t>
      </w:r>
    </w:p>
    <w:p>
      <w:pPr>
        <w:pStyle w:val="ListBullet"/>
      </w:pPr>
      <w:r>
        <w:t>Every member must be able to locate the workbook input, explain a sign convention, trace a chart label to a source value, and explain why the script stops when a check fails.</w:t>
      </w:r>
    </w:p>
    <w:p>
      <w:pPr>
        <w:pStyle w:val="ListBullet"/>
      </w:pPr>
      <w:r>
        <w:t>The professor may direct an oral question to any team member, regardless of assigned role.</w:t>
      </w:r>
    </w:p>
    <w:p>
      <w:pPr>
        <w:pStyle w:val="Heading1"/>
      </w:pPr>
      <w:r>
        <w:t>3. Learning Objectives Tied to Chapters 1-8</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1350"/>
        <w:gridCol w:w="3900"/>
        <w:gridCol w:w="4110"/>
      </w:tblGrid>
      <w:tr>
        <w:trPr>
          <w:tblHeader w:val="true"/>
        </w:trPr>
        <w:tc>
          <w:tcPr>
            <w:tcW w:type="dxa" w:w="1350"/>
            <w:vAlign w:val="center"/>
            <w:tcMar>
              <w:top w:w="80" w:type="dxa"/>
              <w:start w:w="120" w:type="dxa"/>
              <w:bottom w:w="80" w:type="dxa"/>
              <w:end w:w="120" w:type="dxa"/>
            </w:tcMar>
            <w:shd w:fill="E8EEF5"/>
          </w:tcPr>
          <w:p>
            <w:pPr>
              <w:spacing w:after="0"/>
            </w:pPr>
            <w:r>
              <w:rPr>
                <w:rFonts w:ascii="Calibri" w:hAnsi="Calibri"/>
                <w:b/>
                <w:color w:val="0B2545"/>
                <w:sz w:val="17"/>
              </w:rPr>
              <w:t>Chapter</w:t>
            </w:r>
          </w:p>
        </w:tc>
        <w:tc>
          <w:tcPr>
            <w:tcW w:type="dxa" w:w="3900"/>
            <w:vAlign w:val="center"/>
            <w:tcMar>
              <w:top w:w="80" w:type="dxa"/>
              <w:start w:w="120" w:type="dxa"/>
              <w:bottom w:w="80" w:type="dxa"/>
              <w:end w:w="120" w:type="dxa"/>
            </w:tcMar>
            <w:shd w:fill="E8EEF5"/>
          </w:tcPr>
          <w:p>
            <w:pPr>
              <w:spacing w:after="0"/>
            </w:pPr>
            <w:r>
              <w:rPr>
                <w:rFonts w:ascii="Calibri" w:hAnsi="Calibri"/>
                <w:b/>
                <w:color w:val="0B2545"/>
                <w:sz w:val="17"/>
              </w:rPr>
              <w:t>Course connection</w:t>
            </w:r>
          </w:p>
        </w:tc>
        <w:tc>
          <w:tcPr>
            <w:tcW w:type="dxa" w:w="4110"/>
            <w:vAlign w:val="center"/>
            <w:tcMar>
              <w:top w:w="80" w:type="dxa"/>
              <w:start w:w="120" w:type="dxa"/>
              <w:bottom w:w="80" w:type="dxa"/>
              <w:end w:w="120" w:type="dxa"/>
            </w:tcMar>
            <w:shd w:fill="E8EEF5"/>
          </w:tcPr>
          <w:p>
            <w:pPr>
              <w:spacing w:after="0"/>
            </w:pPr>
            <w:r>
              <w:rPr>
                <w:rFonts w:ascii="Calibri" w:hAnsi="Calibri"/>
                <w:b/>
                <w:color w:val="0B2545"/>
                <w:sz w:val="17"/>
              </w:rPr>
              <w:t>Evidence of learning</w:t>
            </w:r>
          </w:p>
        </w:tc>
      </w:tr>
      <w:tr>
        <w:tc>
          <w:tcPr>
            <w:tcW w:type="dxa" w:w="1350"/>
            <w:vAlign w:val="center"/>
            <w:tcMar>
              <w:top w:w="80" w:type="dxa"/>
              <w:start w:w="120" w:type="dxa"/>
              <w:bottom w:w="80" w:type="dxa"/>
              <w:end w:w="120" w:type="dxa"/>
            </w:tcMar>
          </w:tcPr>
          <w:p>
            <w:pPr>
              <w:spacing w:after="0"/>
            </w:pPr>
            <w:r>
              <w:rPr>
                <w:rFonts w:ascii="Calibri" w:hAnsi="Calibri"/>
                <w:b w:val="0"/>
                <w:color w:val="000000"/>
                <w:sz w:val="17"/>
              </w:rPr>
              <w:t>1 - Financial management and value</w:t>
            </w:r>
          </w:p>
        </w:tc>
        <w:tc>
          <w:tcPr>
            <w:tcW w:type="dxa" w:w="3900"/>
            <w:vAlign w:val="center"/>
            <w:tcMar>
              <w:top w:w="80" w:type="dxa"/>
              <w:start w:w="120" w:type="dxa"/>
              <w:bottom w:w="80" w:type="dxa"/>
              <w:end w:w="120" w:type="dxa"/>
            </w:tcMar>
          </w:tcPr>
          <w:p>
            <w:pPr>
              <w:spacing w:after="0"/>
            </w:pPr>
            <w:r>
              <w:rPr>
                <w:rFonts w:ascii="Calibri" w:hAnsi="Calibri"/>
                <w:b w:val="0"/>
                <w:color w:val="000000"/>
                <w:sz w:val="17"/>
              </w:rPr>
              <w:t>Value depends on future cash flows, risk, and decisions that affect owners and creditors.</w:t>
            </w:r>
          </w:p>
        </w:tc>
        <w:tc>
          <w:tcPr>
            <w:tcW w:type="dxa" w:w="4110"/>
            <w:vAlign w:val="center"/>
            <w:tcMar>
              <w:top w:w="80" w:type="dxa"/>
              <w:start w:w="120" w:type="dxa"/>
              <w:bottom w:w="80" w:type="dxa"/>
              <w:end w:w="120" w:type="dxa"/>
            </w:tcMar>
          </w:tcPr>
          <w:p>
            <w:pPr>
              <w:spacing w:after="0"/>
            </w:pPr>
            <w:r>
              <w:rPr>
                <w:rFonts w:ascii="Calibri" w:hAnsi="Calibri"/>
                <w:b w:val="0"/>
                <w:color w:val="000000"/>
                <w:sz w:val="17"/>
              </w:rPr>
              <w:t>Explain why net income alone is not a complete value-creation measure.</w:t>
            </w:r>
          </w:p>
        </w:tc>
      </w:tr>
      <w:tr>
        <w:tc>
          <w:tcPr>
            <w:tcW w:type="dxa" w:w="1350"/>
            <w:shd w:fill="FAFBFC"/>
            <w:vAlign w:val="center"/>
            <w:tcMar>
              <w:top w:w="80" w:type="dxa"/>
              <w:start w:w="120" w:type="dxa"/>
              <w:bottom w:w="80" w:type="dxa"/>
              <w:end w:w="120" w:type="dxa"/>
            </w:tcMar>
          </w:tcPr>
          <w:p>
            <w:pPr>
              <w:spacing w:after="0"/>
            </w:pPr>
            <w:r>
              <w:rPr>
                <w:rFonts w:ascii="Calibri" w:hAnsi="Calibri"/>
                <w:b w:val="0"/>
                <w:color w:val="000000"/>
                <w:sz w:val="17"/>
              </w:rPr>
              <w:t>2 - Financial markets</w:t>
            </w:r>
          </w:p>
        </w:tc>
        <w:tc>
          <w:tcPr>
            <w:tcW w:type="dxa" w:w="3900"/>
            <w:shd w:fill="FAFBFC"/>
            <w:vAlign w:val="center"/>
            <w:tcMar>
              <w:top w:w="80" w:type="dxa"/>
              <w:start w:w="120" w:type="dxa"/>
              <w:bottom w:w="80" w:type="dxa"/>
              <w:end w:w="120" w:type="dxa"/>
            </w:tcMar>
          </w:tcPr>
          <w:p>
            <w:pPr>
              <w:spacing w:after="0"/>
            </w:pPr>
            <w:r>
              <w:rPr>
                <w:rFonts w:ascii="Calibri" w:hAnsi="Calibri"/>
                <w:b w:val="0"/>
                <w:color w:val="000000"/>
                <w:sz w:val="17"/>
              </w:rPr>
              <w:t>Public financial reports reduce information gaps between firms and capital providers.</w:t>
            </w:r>
          </w:p>
        </w:tc>
        <w:tc>
          <w:tcPr>
            <w:tcW w:type="dxa" w:w="4110"/>
            <w:shd w:fill="FAFBFC"/>
            <w:vAlign w:val="center"/>
            <w:tcMar>
              <w:top w:w="80" w:type="dxa"/>
              <w:start w:w="120" w:type="dxa"/>
              <w:bottom w:w="80" w:type="dxa"/>
              <w:end w:w="120" w:type="dxa"/>
            </w:tcMar>
          </w:tcPr>
          <w:p>
            <w:pPr>
              <w:spacing w:after="0"/>
            </w:pPr>
            <w:r>
              <w:rPr>
                <w:rFonts w:ascii="Calibri" w:hAnsi="Calibri"/>
                <w:b w:val="0"/>
                <w:color w:val="000000"/>
                <w:sz w:val="17"/>
              </w:rPr>
              <w:t>Use the audited 10-K rather than invented or replacement data.</w:t>
            </w:r>
          </w:p>
        </w:tc>
      </w:tr>
      <w:tr>
        <w:tc>
          <w:tcPr>
            <w:tcW w:type="dxa" w:w="1350"/>
            <w:vAlign w:val="center"/>
            <w:tcMar>
              <w:top w:w="80" w:type="dxa"/>
              <w:start w:w="120" w:type="dxa"/>
              <w:bottom w:w="80" w:type="dxa"/>
              <w:end w:w="120" w:type="dxa"/>
            </w:tcMar>
          </w:tcPr>
          <w:p>
            <w:pPr>
              <w:spacing w:after="0"/>
            </w:pPr>
            <w:r>
              <w:rPr>
                <w:rFonts w:ascii="Calibri" w:hAnsi="Calibri"/>
                <w:b w:val="0"/>
                <w:color w:val="000000"/>
                <w:sz w:val="17"/>
              </w:rPr>
              <w:t>3 - Financial statements and FCF</w:t>
            </w:r>
          </w:p>
        </w:tc>
        <w:tc>
          <w:tcPr>
            <w:tcW w:type="dxa" w:w="3900"/>
            <w:vAlign w:val="center"/>
            <w:tcMar>
              <w:top w:w="80" w:type="dxa"/>
              <w:start w:w="120" w:type="dxa"/>
              <w:bottom w:w="80" w:type="dxa"/>
              <w:end w:w="120" w:type="dxa"/>
            </w:tcMar>
          </w:tcPr>
          <w:p>
            <w:pPr>
              <w:spacing w:after="0"/>
            </w:pPr>
            <w:r>
              <w:rPr>
                <w:rFonts w:ascii="Calibri" w:hAnsi="Calibri"/>
                <w:b w:val="0"/>
                <w:color w:val="000000"/>
                <w:sz w:val="17"/>
              </w:rPr>
              <w:t>Income statement, balance sheet, cash flow, taxes, NOPAT, NOWC, and FCF are connected.</w:t>
            </w:r>
          </w:p>
        </w:tc>
        <w:tc>
          <w:tcPr>
            <w:tcW w:type="dxa" w:w="4110"/>
            <w:vAlign w:val="center"/>
            <w:tcMar>
              <w:top w:w="80" w:type="dxa"/>
              <w:start w:w="120" w:type="dxa"/>
              <w:bottom w:w="80" w:type="dxa"/>
              <w:end w:w="120" w:type="dxa"/>
            </w:tcMar>
          </w:tcPr>
          <w:p>
            <w:pPr>
              <w:spacing w:after="0"/>
            </w:pPr>
            <w:r>
              <w:rPr>
                <w:rFonts w:ascii="Calibri" w:hAnsi="Calibri"/>
                <w:b w:val="0"/>
                <w:color w:val="000000"/>
                <w:sz w:val="17"/>
              </w:rPr>
              <w:t>Reconcile the Sankey and the FCF waterfall.</w:t>
            </w:r>
          </w:p>
        </w:tc>
      </w:tr>
      <w:tr>
        <w:tc>
          <w:tcPr>
            <w:tcW w:type="dxa" w:w="1350"/>
            <w:shd w:fill="FAFBFC"/>
            <w:vAlign w:val="center"/>
            <w:tcMar>
              <w:top w:w="80" w:type="dxa"/>
              <w:start w:w="120" w:type="dxa"/>
              <w:bottom w:w="80" w:type="dxa"/>
              <w:end w:w="120" w:type="dxa"/>
            </w:tcMar>
          </w:tcPr>
          <w:p>
            <w:pPr>
              <w:spacing w:after="0"/>
            </w:pPr>
            <w:r>
              <w:rPr>
                <w:rFonts w:ascii="Calibri" w:hAnsi="Calibri"/>
                <w:b w:val="0"/>
                <w:color w:val="000000"/>
                <w:sz w:val="17"/>
              </w:rPr>
              <w:t>4 - Financial statement analysis</w:t>
            </w:r>
          </w:p>
        </w:tc>
        <w:tc>
          <w:tcPr>
            <w:tcW w:type="dxa" w:w="3900"/>
            <w:shd w:fill="FAFBFC"/>
            <w:vAlign w:val="center"/>
            <w:tcMar>
              <w:top w:w="80" w:type="dxa"/>
              <w:start w:w="120" w:type="dxa"/>
              <w:bottom w:w="80" w:type="dxa"/>
              <w:end w:w="120" w:type="dxa"/>
            </w:tcMar>
          </w:tcPr>
          <w:p>
            <w:pPr>
              <w:spacing w:after="0"/>
            </w:pPr>
            <w:r>
              <w:rPr>
                <w:rFonts w:ascii="Calibri" w:hAnsi="Calibri"/>
                <w:b w:val="0"/>
                <w:color w:val="000000"/>
                <w:sz w:val="17"/>
              </w:rPr>
              <w:t>Common-size, trend, profitability, efficiency, leverage, and DuPont analysis turn statements into insight.</w:t>
            </w:r>
          </w:p>
        </w:tc>
        <w:tc>
          <w:tcPr>
            <w:tcW w:type="dxa" w:w="4110"/>
            <w:shd w:fill="FAFBFC"/>
            <w:vAlign w:val="center"/>
            <w:tcMar>
              <w:top w:w="80" w:type="dxa"/>
              <w:start w:w="120" w:type="dxa"/>
              <w:bottom w:w="80" w:type="dxa"/>
              <w:end w:w="120" w:type="dxa"/>
            </w:tcMar>
          </w:tcPr>
          <w:p>
            <w:pPr>
              <w:spacing w:after="0"/>
            </w:pPr>
            <w:r>
              <w:rPr>
                <w:rFonts w:ascii="Calibri" w:hAnsi="Calibri"/>
                <w:b w:val="0"/>
                <w:color w:val="000000"/>
                <w:sz w:val="17"/>
              </w:rPr>
              <w:t>Interpret margins, CAGRs, and all three DuPont factors.</w:t>
            </w:r>
          </w:p>
        </w:tc>
      </w:tr>
      <w:tr>
        <w:tc>
          <w:tcPr>
            <w:tcW w:type="dxa" w:w="1350"/>
            <w:vAlign w:val="center"/>
            <w:tcMar>
              <w:top w:w="80" w:type="dxa"/>
              <w:start w:w="120" w:type="dxa"/>
              <w:bottom w:w="80" w:type="dxa"/>
              <w:end w:w="120" w:type="dxa"/>
            </w:tcMar>
          </w:tcPr>
          <w:p>
            <w:pPr>
              <w:spacing w:after="0"/>
            </w:pPr>
            <w:r>
              <w:rPr>
                <w:rFonts w:ascii="Calibri" w:hAnsi="Calibri"/>
                <w:b w:val="0"/>
                <w:color w:val="000000"/>
                <w:sz w:val="17"/>
              </w:rPr>
              <w:t>5 - Time value of money</w:t>
            </w:r>
          </w:p>
        </w:tc>
        <w:tc>
          <w:tcPr>
            <w:tcW w:type="dxa" w:w="3900"/>
            <w:vAlign w:val="center"/>
            <w:tcMar>
              <w:top w:w="80" w:type="dxa"/>
              <w:start w:w="120" w:type="dxa"/>
              <w:bottom w:w="80" w:type="dxa"/>
              <w:end w:w="120" w:type="dxa"/>
            </w:tcMar>
          </w:tcPr>
          <w:p>
            <w:pPr>
              <w:spacing w:after="0"/>
            </w:pPr>
            <w:r>
              <w:rPr>
                <w:rFonts w:ascii="Calibri" w:hAnsi="Calibri"/>
                <w:b w:val="0"/>
                <w:color w:val="000000"/>
                <w:sz w:val="17"/>
              </w:rPr>
              <w:t>Growth is measured across time and cash flows matter because timing affects value.</w:t>
            </w:r>
          </w:p>
        </w:tc>
        <w:tc>
          <w:tcPr>
            <w:tcW w:type="dxa" w:w="4110"/>
            <w:vAlign w:val="center"/>
            <w:tcMar>
              <w:top w:w="80" w:type="dxa"/>
              <w:start w:w="120" w:type="dxa"/>
              <w:bottom w:w="80" w:type="dxa"/>
              <w:end w:w="120" w:type="dxa"/>
            </w:tcMar>
          </w:tcPr>
          <w:p>
            <w:pPr>
              <w:spacing w:after="0"/>
            </w:pPr>
            <w:r>
              <w:rPr>
                <w:rFonts w:ascii="Calibri" w:hAnsi="Calibri"/>
                <w:b w:val="0"/>
                <w:color w:val="000000"/>
                <w:sz w:val="17"/>
              </w:rPr>
              <w:t>Calculate CAGR over four intervals and connect FCF to valuation.</w:t>
            </w:r>
          </w:p>
        </w:tc>
      </w:tr>
      <w:tr>
        <w:tc>
          <w:tcPr>
            <w:tcW w:type="dxa" w:w="1350"/>
            <w:shd w:fill="FAFBFC"/>
            <w:vAlign w:val="center"/>
            <w:tcMar>
              <w:top w:w="80" w:type="dxa"/>
              <w:start w:w="120" w:type="dxa"/>
              <w:bottom w:w="80" w:type="dxa"/>
              <w:end w:w="120" w:type="dxa"/>
            </w:tcMar>
          </w:tcPr>
          <w:p>
            <w:pPr>
              <w:spacing w:after="0"/>
            </w:pPr>
            <w:r>
              <w:rPr>
                <w:rFonts w:ascii="Calibri" w:hAnsi="Calibri"/>
                <w:b w:val="0"/>
                <w:color w:val="000000"/>
                <w:sz w:val="17"/>
              </w:rPr>
              <w:t>6 - Interest rates</w:t>
            </w:r>
          </w:p>
        </w:tc>
        <w:tc>
          <w:tcPr>
            <w:tcW w:type="dxa" w:w="3900"/>
            <w:shd w:fill="FAFBFC"/>
            <w:vAlign w:val="center"/>
            <w:tcMar>
              <w:top w:w="80" w:type="dxa"/>
              <w:start w:w="120" w:type="dxa"/>
              <w:bottom w:w="80" w:type="dxa"/>
              <w:end w:w="120" w:type="dxa"/>
            </w:tcMar>
          </w:tcPr>
          <w:p>
            <w:pPr>
              <w:spacing w:after="0"/>
            </w:pPr>
            <w:r>
              <w:rPr>
                <w:rFonts w:ascii="Calibri" w:hAnsi="Calibri"/>
                <w:b w:val="0"/>
                <w:color w:val="000000"/>
                <w:sz w:val="17"/>
              </w:rPr>
              <w:t>Financing costs and macro rates affect earnings, investment, and leverage decisions.</w:t>
            </w:r>
          </w:p>
        </w:tc>
        <w:tc>
          <w:tcPr>
            <w:tcW w:type="dxa" w:w="4110"/>
            <w:shd w:fill="FAFBFC"/>
            <w:vAlign w:val="center"/>
            <w:tcMar>
              <w:top w:w="80" w:type="dxa"/>
              <w:start w:w="120" w:type="dxa"/>
              <w:bottom w:w="80" w:type="dxa"/>
              <w:end w:w="120" w:type="dxa"/>
            </w:tcMar>
          </w:tcPr>
          <w:p>
            <w:pPr>
              <w:spacing w:after="0"/>
            </w:pPr>
            <w:r>
              <w:rPr>
                <w:rFonts w:ascii="Calibri" w:hAnsi="Calibri"/>
                <w:b w:val="0"/>
                <w:color w:val="000000"/>
                <w:sz w:val="17"/>
              </w:rPr>
              <w:t>Classify interest after EBIT and discuss financing sensitivity.</w:t>
            </w:r>
          </w:p>
        </w:tc>
      </w:tr>
      <w:tr>
        <w:tc>
          <w:tcPr>
            <w:tcW w:type="dxa" w:w="1350"/>
            <w:vAlign w:val="center"/>
            <w:tcMar>
              <w:top w:w="80" w:type="dxa"/>
              <w:start w:w="120" w:type="dxa"/>
              <w:bottom w:w="80" w:type="dxa"/>
              <w:end w:w="120" w:type="dxa"/>
            </w:tcMar>
          </w:tcPr>
          <w:p>
            <w:pPr>
              <w:spacing w:after="0"/>
            </w:pPr>
            <w:r>
              <w:rPr>
                <w:rFonts w:ascii="Calibri" w:hAnsi="Calibri"/>
                <w:b w:val="0"/>
                <w:color w:val="000000"/>
                <w:sz w:val="17"/>
              </w:rPr>
              <w:t>7 - Bonds and creditor risk</w:t>
            </w:r>
          </w:p>
        </w:tc>
        <w:tc>
          <w:tcPr>
            <w:tcW w:type="dxa" w:w="3900"/>
            <w:vAlign w:val="center"/>
            <w:tcMar>
              <w:top w:w="80" w:type="dxa"/>
              <w:start w:w="120" w:type="dxa"/>
              <w:bottom w:w="80" w:type="dxa"/>
              <w:end w:w="120" w:type="dxa"/>
            </w:tcMar>
          </w:tcPr>
          <w:p>
            <w:pPr>
              <w:spacing w:after="0"/>
            </w:pPr>
            <w:r>
              <w:rPr>
                <w:rFonts w:ascii="Calibri" w:hAnsi="Calibri"/>
                <w:b w:val="0"/>
                <w:color w:val="000000"/>
                <w:sz w:val="17"/>
              </w:rPr>
              <w:t>Debt holders care about coverage, cash generation, leverage, and default risk.</w:t>
            </w:r>
          </w:p>
        </w:tc>
        <w:tc>
          <w:tcPr>
            <w:tcW w:type="dxa" w:w="4110"/>
            <w:vAlign w:val="center"/>
            <w:tcMar>
              <w:top w:w="80" w:type="dxa"/>
              <w:start w:w="120" w:type="dxa"/>
              <w:bottom w:w="80" w:type="dxa"/>
              <w:end w:w="120" w:type="dxa"/>
            </w:tcMar>
          </w:tcPr>
          <w:p>
            <w:pPr>
              <w:spacing w:after="0"/>
            </w:pPr>
            <w:r>
              <w:rPr>
                <w:rFonts w:ascii="Calibri" w:hAnsi="Calibri"/>
                <w:b w:val="0"/>
                <w:color w:val="000000"/>
                <w:sz w:val="17"/>
              </w:rPr>
              <w:t>Explain why a high equity multiplier can matter to creditors.</w:t>
            </w:r>
          </w:p>
        </w:tc>
      </w:tr>
      <w:tr>
        <w:tc>
          <w:tcPr>
            <w:tcW w:type="dxa" w:w="1350"/>
            <w:shd w:fill="FAFBFC"/>
            <w:vAlign w:val="center"/>
            <w:tcMar>
              <w:top w:w="80" w:type="dxa"/>
              <w:start w:w="120" w:type="dxa"/>
              <w:bottom w:w="80" w:type="dxa"/>
              <w:end w:w="120" w:type="dxa"/>
            </w:tcMar>
          </w:tcPr>
          <w:p>
            <w:pPr>
              <w:spacing w:after="0"/>
            </w:pPr>
            <w:r>
              <w:rPr>
                <w:rFonts w:ascii="Calibri" w:hAnsi="Calibri"/>
                <w:b w:val="0"/>
                <w:color w:val="000000"/>
                <w:sz w:val="17"/>
              </w:rPr>
              <w:t>8 - Risk and return</w:t>
            </w:r>
          </w:p>
        </w:tc>
        <w:tc>
          <w:tcPr>
            <w:tcW w:type="dxa" w:w="3900"/>
            <w:shd w:fill="FAFBFC"/>
            <w:vAlign w:val="center"/>
            <w:tcMar>
              <w:top w:w="80" w:type="dxa"/>
              <w:start w:w="120" w:type="dxa"/>
              <w:bottom w:w="80" w:type="dxa"/>
              <w:end w:w="120" w:type="dxa"/>
            </w:tcMar>
          </w:tcPr>
          <w:p>
            <w:pPr>
              <w:spacing w:after="0"/>
            </w:pPr>
            <w:r>
              <w:rPr>
                <w:rFonts w:ascii="Calibri" w:hAnsi="Calibri"/>
                <w:b w:val="0"/>
                <w:color w:val="000000"/>
                <w:sz w:val="17"/>
              </w:rPr>
              <w:t>Higher expected return generally requires bearing relevant risk; leverage magnifies outcomes.</w:t>
            </w:r>
          </w:p>
        </w:tc>
        <w:tc>
          <w:tcPr>
            <w:tcW w:type="dxa" w:w="4110"/>
            <w:shd w:fill="FAFBFC"/>
            <w:vAlign w:val="center"/>
            <w:tcMar>
              <w:top w:w="80" w:type="dxa"/>
              <w:start w:w="120" w:type="dxa"/>
              <w:bottom w:w="80" w:type="dxa"/>
              <w:end w:w="120" w:type="dxa"/>
            </w:tcMar>
          </w:tcPr>
          <w:p>
            <w:pPr>
              <w:spacing w:after="0"/>
            </w:pPr>
            <w:r>
              <w:rPr>
                <w:rFonts w:ascii="Calibri" w:hAnsi="Calibri"/>
                <w:b w:val="0"/>
                <w:color w:val="000000"/>
                <w:sz w:val="17"/>
              </w:rPr>
              <w:t>Identify operating, financial, and model risks not captured by the dashboard.</w:t>
            </w:r>
          </w:p>
        </w:tc>
      </w:tr>
    </w:tbl>
    <w:p>
      <w:pPr>
        <w:spacing w:after="0"/>
      </w:pPr>
    </w:p>
    <w:p>
      <w:pPr>
        <w:pStyle w:val="Heading1"/>
      </w:pPr>
      <w:r>
        <w:t>4. Data Rules and Reproducibility</w:t>
      </w:r>
    </w:p>
    <w:p>
      <w:pPr>
        <w:pStyle w:val="ListBullet"/>
      </w:pPr>
      <w:r>
        <w:t>Use PG_FinancialStory_Student.xlsx as the program input. Do not rename 01_Input, its headers, or its Metric_ID values.</w:t>
      </w:r>
    </w:p>
    <w:p>
      <w:pPr>
        <w:pStyle w:val="ListBullet"/>
      </w:pPr>
      <w:r>
        <w:t>Use fiscal years ending June 30. Do not substitute calendar-year, quarterly, or annualized quarterly values.</w:t>
      </w:r>
    </w:p>
    <w:p>
      <w:pPr>
        <w:pStyle w:val="ListBullet"/>
      </w:pPr>
      <w:r>
        <w:t>Use USD millions except per-share data. Label any display conversion to billions.</w:t>
      </w:r>
    </w:p>
    <w:p>
      <w:pPr>
        <w:pStyle w:val="ListBullet"/>
      </w:pPr>
      <w:r>
        <w:t>Preserve raw statement signs. Convert an expense or CapEx to a positive magnitude only when the formula requires it, and document the conversion.</w:t>
      </w:r>
    </w:p>
    <w:p>
      <w:pPr>
        <w:pStyle w:val="ListBullet"/>
      </w:pPr>
      <w:r>
        <w:t>Use consolidated net earnings consistently with total shareholders' equity in the base DuPont model.</w:t>
      </w:r>
    </w:p>
    <w:p>
      <w:pPr>
        <w:pStyle w:val="ListBullet"/>
      </w:pPr>
      <w:r>
        <w:t>Use average FY2024/FY2025 assets and total shareholders' equity for turnover, leverage, and ROE.</w:t>
      </w:r>
    </w:p>
    <w:p>
      <w:pPr>
        <w:pStyle w:val="ListBullet"/>
      </w:pPr>
      <w:r>
        <w:t>Label P&amp;G adjusted FCF as a company-defined non-GAAP measure.</w:t>
      </w:r>
    </w:p>
    <w:p>
      <w:pPr>
        <w:pStyle w:val="ListBullet"/>
      </w:pPr>
      <w:r>
        <w:t>Use relative paths or command-line arguments. The program must run on another computer from the submitted folder.</w:t>
      </w:r>
    </w:p>
    <w:tbl>
      <w:tblPr>
        <w:tblW w:type="dxa" w:w="9360"/>
        <w:jc w:val="left"/>
        <w:tblLayout w:type="fixed"/>
        <w:tblLook w:firstColumn="1" w:firstRow="1" w:lastColumn="0" w:lastRow="0" w:noHBand="0" w:noVBand="1" w:val="04A0"/>
        <w:tblInd w:w="120" w:type="dxa"/>
        <w:tblBorders>
          <w:top w:val="single" w:sz="1" w:space="0" w:color="F3F8FC"/>
          <w:left w:val="single" w:sz="1" w:space="0" w:color="F3F8FC"/>
          <w:bottom w:val="single" w:sz="1" w:space="0" w:color="F3F8FC"/>
          <w:right w:val="single" w:sz="1" w:space="0" w:color="F3F8FC"/>
          <w:insideH w:val="single" w:sz="1" w:space="0" w:color="F3F8FC"/>
          <w:insideV w:val="single" w:sz="1" w:space="0" w:color="F3F8FC"/>
        </w:tblBorders>
      </w:tblPr>
      <w:tblGrid>
        <w:gridCol w:w="9360"/>
      </w:tblGrid>
      <w:tr>
        <w:tc>
          <w:tcPr>
            <w:tcW w:type="dxa" w:w="9360"/>
            <w:vAlign w:val="center"/>
            <w:tcMar>
              <w:top w:w="80" w:type="dxa"/>
              <w:start w:w="120" w:type="dxa"/>
              <w:bottom w:w="80" w:type="dxa"/>
              <w:end w:w="120" w:type="dxa"/>
            </w:tcMar>
            <w:shd w:fill="F3F8FC"/>
          </w:tcPr>
          <w:p>
            <w:pPr>
              <w:spacing w:after="0"/>
            </w:pPr>
            <w:r>
              <w:rPr>
                <w:rFonts w:ascii="Calibri" w:hAnsi="Calibri"/>
                <w:b/>
                <w:color w:val="2E74B5"/>
                <w:sz w:val="21"/>
              </w:rPr>
              <w:t xml:space="preserve">Source hierarchy: </w:t>
            </w:r>
            <w:r>
              <w:rPr>
                <w:rFonts w:ascii="Calibri" w:hAnsi="Calibri"/>
                <w:color w:val="000000"/>
                <w:sz w:val="21"/>
              </w:rPr>
              <w:t>Audited 10-K and supplied source workbook -&gt; standardized 01_Input values -&gt; team calculations -&gt; Python outputs -&gt; verification log.</w:t>
            </w:r>
          </w:p>
        </w:tc>
      </w:tr>
    </w:tbl>
    <w:p>
      <w:pPr>
        <w:spacing w:after="0"/>
      </w:pPr>
    </w:p>
    <w:p>
      <w:pPr>
        <w:pStyle w:val="Heading1"/>
      </w:pPr>
      <w:r>
        <w:t>5. Required Workflow</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1250"/>
        <w:gridCol w:w="5000"/>
        <w:gridCol w:w="3110"/>
      </w:tblGrid>
      <w:tr>
        <w:trPr>
          <w:tblHeader w:val="true"/>
        </w:trPr>
        <w:tc>
          <w:tcPr>
            <w:tcW w:type="dxa" w:w="1250"/>
            <w:vAlign w:val="center"/>
            <w:tcMar>
              <w:top w:w="80" w:type="dxa"/>
              <w:start w:w="120" w:type="dxa"/>
              <w:bottom w:w="80" w:type="dxa"/>
              <w:end w:w="120" w:type="dxa"/>
            </w:tcMar>
            <w:shd w:fill="E8EEF5"/>
          </w:tcPr>
          <w:p>
            <w:pPr>
              <w:spacing w:after="0"/>
            </w:pPr>
            <w:r>
              <w:rPr>
                <w:rFonts w:ascii="Calibri" w:hAnsi="Calibri"/>
                <w:b/>
                <w:color w:val="0B2545"/>
                <w:sz w:val="18"/>
              </w:rPr>
              <w:t>Stage</w:t>
            </w:r>
          </w:p>
        </w:tc>
        <w:tc>
          <w:tcPr>
            <w:tcW w:type="dxa" w:w="5000"/>
            <w:vAlign w:val="center"/>
            <w:tcMar>
              <w:top w:w="80" w:type="dxa"/>
              <w:start w:w="120" w:type="dxa"/>
              <w:bottom w:w="80" w:type="dxa"/>
              <w:end w:w="120" w:type="dxa"/>
            </w:tcMar>
            <w:shd w:fill="E8EEF5"/>
          </w:tcPr>
          <w:p>
            <w:pPr>
              <w:spacing w:after="0"/>
            </w:pPr>
            <w:r>
              <w:rPr>
                <w:rFonts w:ascii="Calibri" w:hAnsi="Calibri"/>
                <w:b/>
                <w:color w:val="0B2545"/>
                <w:sz w:val="18"/>
              </w:rPr>
              <w:t>Team action</w:t>
            </w:r>
          </w:p>
        </w:tc>
        <w:tc>
          <w:tcPr>
            <w:tcW w:type="dxa" w:w="3110"/>
            <w:vAlign w:val="center"/>
            <w:tcMar>
              <w:top w:w="80" w:type="dxa"/>
              <w:start w:w="120" w:type="dxa"/>
              <w:bottom w:w="80" w:type="dxa"/>
              <w:end w:w="120" w:type="dxa"/>
            </w:tcMar>
            <w:shd w:fill="E8EEF5"/>
          </w:tcPr>
          <w:p>
            <w:pPr>
              <w:spacing w:after="0"/>
            </w:pPr>
            <w:r>
              <w:rPr>
                <w:rFonts w:ascii="Calibri" w:hAnsi="Calibri"/>
                <w:b/>
                <w:color w:val="0B2545"/>
                <w:sz w:val="18"/>
              </w:rPr>
              <w:t>Evidence</w:t>
            </w:r>
          </w:p>
        </w:tc>
      </w:tr>
      <w:tr>
        <w:tc>
          <w:tcPr>
            <w:tcW w:type="dxa" w:w="1250"/>
            <w:vAlign w:val="center"/>
            <w:tcMar>
              <w:top w:w="80" w:type="dxa"/>
              <w:start w:w="120" w:type="dxa"/>
              <w:bottom w:w="80" w:type="dxa"/>
              <w:end w:w="120" w:type="dxa"/>
            </w:tcMar>
          </w:tcPr>
          <w:p>
            <w:pPr>
              <w:spacing w:after="0"/>
            </w:pPr>
            <w:r>
              <w:rPr>
                <w:rFonts w:ascii="Calibri" w:hAnsi="Calibri"/>
                <w:b w:val="0"/>
                <w:color w:val="000000"/>
                <w:sz w:val="18"/>
              </w:rPr>
              <w:t>1. Read</w:t>
            </w:r>
          </w:p>
        </w:tc>
        <w:tc>
          <w:tcPr>
            <w:tcW w:type="dxa" w:w="5000"/>
            <w:vAlign w:val="center"/>
            <w:tcMar>
              <w:top w:w="80" w:type="dxa"/>
              <w:start w:w="120" w:type="dxa"/>
              <w:bottom w:w="80" w:type="dxa"/>
              <w:end w:w="120" w:type="dxa"/>
            </w:tcMar>
          </w:tcPr>
          <w:p>
            <w:pPr>
              <w:spacing w:after="0"/>
            </w:pPr>
            <w:r>
              <w:rPr>
                <w:rFonts w:ascii="Calibri" w:hAnsi="Calibri"/>
                <w:b w:val="0"/>
                <w:color w:val="000000"/>
                <w:sz w:val="18"/>
              </w:rPr>
              <w:t>Locate the statement line items and understand the definitions.</w:t>
            </w:r>
          </w:p>
        </w:tc>
        <w:tc>
          <w:tcPr>
            <w:tcW w:type="dxa" w:w="3110"/>
            <w:vAlign w:val="center"/>
            <w:tcMar>
              <w:top w:w="80" w:type="dxa"/>
              <w:start w:w="120" w:type="dxa"/>
              <w:bottom w:w="80" w:type="dxa"/>
              <w:end w:w="120" w:type="dxa"/>
            </w:tcMar>
          </w:tcPr>
          <w:p>
            <w:pPr>
              <w:spacing w:after="0"/>
            </w:pPr>
            <w:r>
              <w:rPr>
                <w:rFonts w:ascii="Calibri" w:hAnsi="Calibri"/>
                <w:b w:val="0"/>
                <w:color w:val="000000"/>
                <w:sz w:val="18"/>
              </w:rPr>
              <w:t>Source page/tab references.</w:t>
            </w:r>
          </w:p>
        </w:tc>
      </w:tr>
      <w:tr>
        <w:tc>
          <w:tcPr>
            <w:tcW w:type="dxa" w:w="1250"/>
            <w:shd w:fill="FAFBFC"/>
            <w:vAlign w:val="center"/>
            <w:tcMar>
              <w:top w:w="80" w:type="dxa"/>
              <w:start w:w="120" w:type="dxa"/>
              <w:bottom w:w="80" w:type="dxa"/>
              <w:end w:w="120" w:type="dxa"/>
            </w:tcMar>
          </w:tcPr>
          <w:p>
            <w:pPr>
              <w:spacing w:after="0"/>
            </w:pPr>
            <w:r>
              <w:rPr>
                <w:rFonts w:ascii="Calibri" w:hAnsi="Calibri"/>
                <w:b w:val="0"/>
                <w:color w:val="000000"/>
                <w:sz w:val="18"/>
              </w:rPr>
              <w:t>2. Calculate</w:t>
            </w:r>
          </w:p>
        </w:tc>
        <w:tc>
          <w:tcPr>
            <w:tcW w:type="dxa" w:w="5000"/>
            <w:shd w:fill="FAFBFC"/>
            <w:vAlign w:val="center"/>
            <w:tcMar>
              <w:top w:w="80" w:type="dxa"/>
              <w:start w:w="120" w:type="dxa"/>
              <w:bottom w:w="80" w:type="dxa"/>
              <w:end w:w="120" w:type="dxa"/>
            </w:tcMar>
          </w:tcPr>
          <w:p>
            <w:pPr>
              <w:spacing w:after="0"/>
            </w:pPr>
            <w:r>
              <w:rPr>
                <w:rFonts w:ascii="Calibri" w:hAnsi="Calibri"/>
                <w:b w:val="0"/>
                <w:color w:val="000000"/>
                <w:sz w:val="18"/>
              </w:rPr>
              <w:t>Complete formulas manually or in the working sheets before charting.</w:t>
            </w:r>
          </w:p>
        </w:tc>
        <w:tc>
          <w:tcPr>
            <w:tcW w:type="dxa" w:w="3110"/>
            <w:shd w:fill="FAFBFC"/>
            <w:vAlign w:val="center"/>
            <w:tcMar>
              <w:top w:w="80" w:type="dxa"/>
              <w:start w:w="120" w:type="dxa"/>
              <w:bottom w:w="80" w:type="dxa"/>
              <w:end w:w="120" w:type="dxa"/>
            </w:tcMar>
          </w:tcPr>
          <w:p>
            <w:pPr>
              <w:spacing w:after="0"/>
            </w:pPr>
            <w:r>
              <w:rPr>
                <w:rFonts w:ascii="Calibri" w:hAnsi="Calibri"/>
                <w:b w:val="0"/>
                <w:color w:val="000000"/>
                <w:sz w:val="18"/>
              </w:rPr>
              <w:t>Formula cells and calculation notes.</w:t>
            </w:r>
          </w:p>
        </w:tc>
      </w:tr>
      <w:tr>
        <w:tc>
          <w:tcPr>
            <w:tcW w:type="dxa" w:w="1250"/>
            <w:vAlign w:val="center"/>
            <w:tcMar>
              <w:top w:w="80" w:type="dxa"/>
              <w:start w:w="120" w:type="dxa"/>
              <w:bottom w:w="80" w:type="dxa"/>
              <w:end w:w="120" w:type="dxa"/>
            </w:tcMar>
          </w:tcPr>
          <w:p>
            <w:pPr>
              <w:spacing w:after="0"/>
            </w:pPr>
            <w:r>
              <w:rPr>
                <w:rFonts w:ascii="Calibri" w:hAnsi="Calibri"/>
                <w:b w:val="0"/>
                <w:color w:val="000000"/>
                <w:sz w:val="18"/>
              </w:rPr>
              <w:t>3. Prompt</w:t>
            </w:r>
          </w:p>
        </w:tc>
        <w:tc>
          <w:tcPr>
            <w:tcW w:type="dxa" w:w="5000"/>
            <w:vAlign w:val="center"/>
            <w:tcMar>
              <w:top w:w="80" w:type="dxa"/>
              <w:start w:w="120" w:type="dxa"/>
              <w:bottom w:w="80" w:type="dxa"/>
              <w:end w:w="120" w:type="dxa"/>
            </w:tcMar>
          </w:tcPr>
          <w:p>
            <w:pPr>
              <w:spacing w:after="0"/>
            </w:pPr>
            <w:r>
              <w:rPr>
                <w:rFonts w:ascii="Calibri" w:hAnsi="Calibri"/>
                <w:b w:val="0"/>
                <w:color w:val="000000"/>
                <w:sz w:val="18"/>
              </w:rPr>
              <w:t>Give AI explicit inputs, outputs, constraints, and failure behavior.</w:t>
            </w:r>
          </w:p>
        </w:tc>
        <w:tc>
          <w:tcPr>
            <w:tcW w:type="dxa" w:w="3110"/>
            <w:vAlign w:val="center"/>
            <w:tcMar>
              <w:top w:w="80" w:type="dxa"/>
              <w:start w:w="120" w:type="dxa"/>
              <w:bottom w:w="80" w:type="dxa"/>
              <w:end w:w="120" w:type="dxa"/>
            </w:tcMar>
          </w:tcPr>
          <w:p>
            <w:pPr>
              <w:spacing w:after="0"/>
            </w:pPr>
            <w:r>
              <w:rPr>
                <w:rFonts w:ascii="Calibri" w:hAnsi="Calibri"/>
                <w:b w:val="0"/>
                <w:color w:val="000000"/>
                <w:sz w:val="18"/>
              </w:rPr>
              <w:t>Exact prompt history.</w:t>
            </w:r>
          </w:p>
        </w:tc>
      </w:tr>
      <w:tr>
        <w:tc>
          <w:tcPr>
            <w:tcW w:type="dxa" w:w="1250"/>
            <w:shd w:fill="FAFBFC"/>
            <w:vAlign w:val="center"/>
            <w:tcMar>
              <w:top w:w="80" w:type="dxa"/>
              <w:start w:w="120" w:type="dxa"/>
              <w:bottom w:w="80" w:type="dxa"/>
              <w:end w:w="120" w:type="dxa"/>
            </w:tcMar>
          </w:tcPr>
          <w:p>
            <w:pPr>
              <w:spacing w:after="0"/>
            </w:pPr>
            <w:r>
              <w:rPr>
                <w:rFonts w:ascii="Calibri" w:hAnsi="Calibri"/>
                <w:b w:val="0"/>
                <w:color w:val="000000"/>
                <w:sz w:val="18"/>
              </w:rPr>
              <w:t>4. Run</w:t>
            </w:r>
          </w:p>
        </w:tc>
        <w:tc>
          <w:tcPr>
            <w:tcW w:type="dxa" w:w="5000"/>
            <w:shd w:fill="FAFBFC"/>
            <w:vAlign w:val="center"/>
            <w:tcMar>
              <w:top w:w="80" w:type="dxa"/>
              <w:start w:w="120" w:type="dxa"/>
              <w:bottom w:w="80" w:type="dxa"/>
              <w:end w:w="120" w:type="dxa"/>
            </w:tcMar>
          </w:tcPr>
          <w:p>
            <w:pPr>
              <w:spacing w:after="0"/>
            </w:pPr>
            <w:r>
              <w:rPr>
                <w:rFonts w:ascii="Calibri" w:hAnsi="Calibri"/>
                <w:b w:val="0"/>
                <w:color w:val="000000"/>
                <w:sz w:val="18"/>
              </w:rPr>
              <w:t>Execute the program from the submitted folder and save all outputs.</w:t>
            </w:r>
          </w:p>
        </w:tc>
        <w:tc>
          <w:tcPr>
            <w:tcW w:type="dxa" w:w="3110"/>
            <w:shd w:fill="FAFBFC"/>
            <w:vAlign w:val="center"/>
            <w:tcMar>
              <w:top w:w="80" w:type="dxa"/>
              <w:start w:w="120" w:type="dxa"/>
              <w:bottom w:w="80" w:type="dxa"/>
              <w:end w:w="120" w:type="dxa"/>
            </w:tcMar>
          </w:tcPr>
          <w:p>
            <w:pPr>
              <w:spacing w:after="0"/>
            </w:pPr>
            <w:r>
              <w:rPr>
                <w:rFonts w:ascii="Calibri" w:hAnsi="Calibri"/>
                <w:b w:val="0"/>
                <w:color w:val="000000"/>
                <w:sz w:val="18"/>
              </w:rPr>
              <w:t>Executable .py file and output files.</w:t>
            </w:r>
          </w:p>
        </w:tc>
      </w:tr>
      <w:tr>
        <w:tc>
          <w:tcPr>
            <w:tcW w:type="dxa" w:w="1250"/>
            <w:vAlign w:val="center"/>
            <w:tcMar>
              <w:top w:w="80" w:type="dxa"/>
              <w:start w:w="120" w:type="dxa"/>
              <w:bottom w:w="80" w:type="dxa"/>
              <w:end w:w="120" w:type="dxa"/>
            </w:tcMar>
          </w:tcPr>
          <w:p>
            <w:pPr>
              <w:spacing w:after="0"/>
            </w:pPr>
            <w:r>
              <w:rPr>
                <w:rFonts w:ascii="Calibri" w:hAnsi="Calibri"/>
                <w:b w:val="0"/>
                <w:color w:val="000000"/>
                <w:sz w:val="18"/>
              </w:rPr>
              <w:t>5. Verify</w:t>
            </w:r>
          </w:p>
        </w:tc>
        <w:tc>
          <w:tcPr>
            <w:tcW w:type="dxa" w:w="5000"/>
            <w:vAlign w:val="center"/>
            <w:tcMar>
              <w:top w:w="80" w:type="dxa"/>
              <w:start w:w="120" w:type="dxa"/>
              <w:bottom w:w="80" w:type="dxa"/>
              <w:end w:w="120" w:type="dxa"/>
            </w:tcMar>
          </w:tcPr>
          <w:p>
            <w:pPr>
              <w:spacing w:after="0"/>
            </w:pPr>
            <w:r>
              <w:rPr>
                <w:rFonts w:ascii="Calibri" w:hAnsi="Calibri"/>
                <w:b w:val="0"/>
                <w:color w:val="000000"/>
                <w:sz w:val="18"/>
              </w:rPr>
              <w:t>Test source values, formulas, code logic, and visual encodings.</w:t>
            </w:r>
          </w:p>
        </w:tc>
        <w:tc>
          <w:tcPr>
            <w:tcW w:type="dxa" w:w="3110"/>
            <w:vAlign w:val="center"/>
            <w:tcMar>
              <w:top w:w="80" w:type="dxa"/>
              <w:start w:w="120" w:type="dxa"/>
              <w:bottom w:w="80" w:type="dxa"/>
              <w:end w:w="120" w:type="dxa"/>
            </w:tcMar>
          </w:tcPr>
          <w:p>
            <w:pPr>
              <w:spacing w:after="0"/>
            </w:pPr>
            <w:r>
              <w:rPr>
                <w:rFonts w:ascii="Calibri" w:hAnsi="Calibri"/>
                <w:b w:val="0"/>
                <w:color w:val="000000"/>
                <w:sz w:val="18"/>
              </w:rPr>
              <w:t>07_AI_Verification and sanity-check CSV.</w:t>
            </w:r>
          </w:p>
        </w:tc>
      </w:tr>
      <w:tr>
        <w:tc>
          <w:tcPr>
            <w:tcW w:type="dxa" w:w="1250"/>
            <w:shd w:fill="FAFBFC"/>
            <w:vAlign w:val="center"/>
            <w:tcMar>
              <w:top w:w="80" w:type="dxa"/>
              <w:start w:w="120" w:type="dxa"/>
              <w:bottom w:w="80" w:type="dxa"/>
              <w:end w:w="120" w:type="dxa"/>
            </w:tcMar>
          </w:tcPr>
          <w:p>
            <w:pPr>
              <w:spacing w:after="0"/>
            </w:pPr>
            <w:r>
              <w:rPr>
                <w:rFonts w:ascii="Calibri" w:hAnsi="Calibri"/>
                <w:b w:val="0"/>
                <w:color w:val="000000"/>
                <w:sz w:val="18"/>
              </w:rPr>
              <w:t>6. Revise</w:t>
            </w:r>
          </w:p>
        </w:tc>
        <w:tc>
          <w:tcPr>
            <w:tcW w:type="dxa" w:w="5000"/>
            <w:shd w:fill="FAFBFC"/>
            <w:vAlign w:val="center"/>
            <w:tcMar>
              <w:top w:w="80" w:type="dxa"/>
              <w:start w:w="120" w:type="dxa"/>
              <w:bottom w:w="80" w:type="dxa"/>
              <w:end w:w="120" w:type="dxa"/>
            </w:tcMar>
          </w:tcPr>
          <w:p>
            <w:pPr>
              <w:spacing w:after="0"/>
            </w:pPr>
            <w:r>
              <w:rPr>
                <w:rFonts w:ascii="Calibri" w:hAnsi="Calibri"/>
                <w:b w:val="0"/>
                <w:color w:val="000000"/>
                <w:sz w:val="18"/>
              </w:rPr>
              <w:t>Make at least one meaningful human improvement.</w:t>
            </w:r>
          </w:p>
        </w:tc>
        <w:tc>
          <w:tcPr>
            <w:tcW w:type="dxa" w:w="3110"/>
            <w:shd w:fill="FAFBFC"/>
            <w:vAlign w:val="center"/>
            <w:tcMar>
              <w:top w:w="80" w:type="dxa"/>
              <w:start w:w="120" w:type="dxa"/>
              <w:bottom w:w="80" w:type="dxa"/>
              <w:end w:w="120" w:type="dxa"/>
            </w:tcMar>
          </w:tcPr>
          <w:p>
            <w:pPr>
              <w:spacing w:after="0"/>
            </w:pPr>
            <w:r>
              <w:rPr>
                <w:rFonts w:ascii="Calibri" w:hAnsi="Calibri"/>
                <w:b w:val="0"/>
                <w:color w:val="000000"/>
                <w:sz w:val="18"/>
              </w:rPr>
              <w:t>Before/after description and changed code line/function.</w:t>
            </w:r>
          </w:p>
        </w:tc>
      </w:tr>
      <w:tr>
        <w:tc>
          <w:tcPr>
            <w:tcW w:type="dxa" w:w="1250"/>
            <w:vAlign w:val="center"/>
            <w:tcMar>
              <w:top w:w="80" w:type="dxa"/>
              <w:start w:w="120" w:type="dxa"/>
              <w:bottom w:w="80" w:type="dxa"/>
              <w:end w:w="120" w:type="dxa"/>
            </w:tcMar>
          </w:tcPr>
          <w:p>
            <w:pPr>
              <w:spacing w:after="0"/>
            </w:pPr>
            <w:r>
              <w:rPr>
                <w:rFonts w:ascii="Calibri" w:hAnsi="Calibri"/>
                <w:b w:val="0"/>
                <w:color w:val="000000"/>
                <w:sz w:val="18"/>
              </w:rPr>
              <w:t>7. Interpret</w:t>
            </w:r>
          </w:p>
        </w:tc>
        <w:tc>
          <w:tcPr>
            <w:tcW w:type="dxa" w:w="5000"/>
            <w:vAlign w:val="center"/>
            <w:tcMar>
              <w:top w:w="80" w:type="dxa"/>
              <w:start w:w="120" w:type="dxa"/>
              <w:bottom w:w="80" w:type="dxa"/>
              <w:end w:w="120" w:type="dxa"/>
            </w:tcMar>
          </w:tcPr>
          <w:p>
            <w:pPr>
              <w:spacing w:after="0"/>
            </w:pPr>
            <w:r>
              <w:rPr>
                <w:rFonts w:ascii="Calibri" w:hAnsi="Calibri"/>
                <w:b w:val="0"/>
                <w:color w:val="000000"/>
                <w:sz w:val="18"/>
              </w:rPr>
              <w:t>Combine the four lenses into one cautious conclusion.</w:t>
            </w:r>
          </w:p>
        </w:tc>
        <w:tc>
          <w:tcPr>
            <w:tcW w:type="dxa" w:w="3110"/>
            <w:vAlign w:val="center"/>
            <w:tcMar>
              <w:top w:w="80" w:type="dxa"/>
              <w:start w:w="120" w:type="dxa"/>
              <w:bottom w:w="80" w:type="dxa"/>
              <w:end w:w="120" w:type="dxa"/>
            </w:tcMar>
          </w:tcPr>
          <w:p>
            <w:pPr>
              <w:spacing w:after="0"/>
            </w:pPr>
            <w:r>
              <w:rPr>
                <w:rFonts w:ascii="Calibri" w:hAnsi="Calibri"/>
                <w:b w:val="0"/>
                <w:color w:val="000000"/>
                <w:sz w:val="18"/>
              </w:rPr>
              <w:t>Two-page interpretation and five-minute presentation.</w:t>
            </w:r>
          </w:p>
        </w:tc>
      </w:tr>
    </w:tbl>
    <w:p>
      <w:pPr>
        <w:spacing w:after="0"/>
      </w:pPr>
    </w:p>
    <w:p>
      <w:pPr>
        <w:pStyle w:val="Heading1"/>
      </w:pPr>
      <w:r>
        <w:t>6. Visualization 1 - Income Statement Sankey</w:t>
      </w:r>
    </w:p>
    <w:p>
      <w:r>
        <w:t>Create a width-proportional flow diagram showing where P&amp;G's FY2025 net sales went. The diagram must preserve the order of the income statement: operating expenses are subtracted before EBIT; interest and other non-operating items are handled after EBIT.</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5600"/>
        <w:gridCol w:w="3760"/>
      </w:tblGrid>
      <w:tr>
        <w:trPr>
          <w:tblHeader w:val="true"/>
        </w:trPr>
        <w:tc>
          <w:tcPr>
            <w:tcW w:type="dxa" w:w="5600"/>
            <w:vAlign w:val="center"/>
            <w:tcMar>
              <w:top w:w="80" w:type="dxa"/>
              <w:start w:w="120" w:type="dxa"/>
              <w:bottom w:w="80" w:type="dxa"/>
              <w:end w:w="120" w:type="dxa"/>
            </w:tcMar>
            <w:shd w:fill="E8EEF5"/>
          </w:tcPr>
          <w:p>
            <w:pPr>
              <w:spacing w:after="0"/>
            </w:pPr>
            <w:r>
              <w:rPr>
                <w:rFonts w:ascii="Calibri" w:hAnsi="Calibri"/>
                <w:b/>
                <w:color w:val="0B2545"/>
                <w:sz w:val="19"/>
              </w:rPr>
              <w:t>Required identity</w:t>
            </w:r>
          </w:p>
        </w:tc>
        <w:tc>
          <w:tcPr>
            <w:tcW w:type="dxa" w:w="3760"/>
            <w:vAlign w:val="center"/>
            <w:tcMar>
              <w:top w:w="80" w:type="dxa"/>
              <w:start w:w="120" w:type="dxa"/>
              <w:bottom w:w="80" w:type="dxa"/>
              <w:end w:w="120" w:type="dxa"/>
            </w:tcMar>
            <w:shd w:fill="E8EEF5"/>
          </w:tcPr>
          <w:p>
            <w:pPr>
              <w:spacing w:after="0"/>
            </w:pPr>
            <w:r>
              <w:rPr>
                <w:rFonts w:ascii="Calibri" w:hAnsi="Calibri"/>
                <w:b/>
                <w:color w:val="0B2545"/>
                <w:sz w:val="19"/>
              </w:rPr>
              <w:t>FY2025 benchmark</w:t>
            </w:r>
          </w:p>
        </w:tc>
      </w:tr>
      <w:tr>
        <w:tc>
          <w:tcPr>
            <w:tcW w:type="dxa" w:w="5600"/>
            <w:vAlign w:val="center"/>
            <w:tcMar>
              <w:top w:w="80" w:type="dxa"/>
              <w:start w:w="120" w:type="dxa"/>
              <w:bottom w:w="80" w:type="dxa"/>
              <w:end w:w="120" w:type="dxa"/>
            </w:tcMar>
          </w:tcPr>
          <w:p>
            <w:pPr>
              <w:spacing w:after="0"/>
            </w:pPr>
            <w:r>
              <w:rPr>
                <w:rFonts w:ascii="Calibri" w:hAnsi="Calibri"/>
                <w:b/>
                <w:color w:val="000000"/>
                <w:sz w:val="19"/>
              </w:rPr>
              <w:t>Net Sales = COGS + Gross Profit</w:t>
            </w:r>
          </w:p>
        </w:tc>
        <w:tc>
          <w:tcPr>
            <w:tcW w:type="dxa" w:w="3760"/>
            <w:vAlign w:val="center"/>
            <w:tcMar>
              <w:top w:w="80" w:type="dxa"/>
              <w:start w:w="120" w:type="dxa"/>
              <w:bottom w:w="80" w:type="dxa"/>
              <w:end w:w="120" w:type="dxa"/>
            </w:tcMar>
          </w:tcPr>
          <w:p>
            <w:pPr>
              <w:spacing w:after="0"/>
            </w:pPr>
            <w:r>
              <w:rPr>
                <w:rFonts w:ascii="Calibri" w:hAnsi="Calibri"/>
                <w:b w:val="0"/>
                <w:color w:val="000000"/>
                <w:sz w:val="19"/>
              </w:rPr>
              <w:t>84,284 = 41,164 + 43,120</w:t>
            </w:r>
          </w:p>
        </w:tc>
      </w:tr>
      <w:tr>
        <w:tc>
          <w:tcPr>
            <w:tcW w:type="dxa" w:w="5600"/>
            <w:shd w:fill="FAFBFC"/>
            <w:vAlign w:val="center"/>
            <w:tcMar>
              <w:top w:w="80" w:type="dxa"/>
              <w:start w:w="120" w:type="dxa"/>
              <w:bottom w:w="80" w:type="dxa"/>
              <w:end w:w="120" w:type="dxa"/>
            </w:tcMar>
          </w:tcPr>
          <w:p>
            <w:pPr>
              <w:spacing w:after="0"/>
            </w:pPr>
            <w:r>
              <w:rPr>
                <w:rFonts w:ascii="Calibri" w:hAnsi="Calibri"/>
                <w:b/>
                <w:color w:val="000000"/>
                <w:sz w:val="19"/>
              </w:rPr>
              <w:t>Gross Profit = SG&amp;A + Impairment + EBIT</w:t>
            </w:r>
          </w:p>
        </w:tc>
        <w:tc>
          <w:tcPr>
            <w:tcW w:type="dxa" w:w="3760"/>
            <w:shd w:fill="FAFBFC"/>
            <w:vAlign w:val="center"/>
            <w:tcMar>
              <w:top w:w="80" w:type="dxa"/>
              <w:start w:w="120" w:type="dxa"/>
              <w:bottom w:w="80" w:type="dxa"/>
              <w:end w:w="120" w:type="dxa"/>
            </w:tcMar>
          </w:tcPr>
          <w:p>
            <w:pPr>
              <w:spacing w:after="0"/>
            </w:pPr>
            <w:r>
              <w:rPr>
                <w:rFonts w:ascii="Calibri" w:hAnsi="Calibri"/>
                <w:b w:val="0"/>
                <w:color w:val="000000"/>
                <w:sz w:val="19"/>
              </w:rPr>
              <w:t>43,120 = 22,669 + 0 + 20,451</w:t>
            </w:r>
          </w:p>
        </w:tc>
      </w:tr>
      <w:tr>
        <w:tc>
          <w:tcPr>
            <w:tcW w:type="dxa" w:w="5600"/>
            <w:vAlign w:val="center"/>
            <w:tcMar>
              <w:top w:w="80" w:type="dxa"/>
              <w:start w:w="120" w:type="dxa"/>
              <w:bottom w:w="80" w:type="dxa"/>
              <w:end w:w="120" w:type="dxa"/>
            </w:tcMar>
          </w:tcPr>
          <w:p>
            <w:pPr>
              <w:spacing w:after="0"/>
            </w:pPr>
            <w:r>
              <w:rPr>
                <w:rFonts w:ascii="Calibri" w:hAnsi="Calibri"/>
                <w:b/>
                <w:color w:val="000000"/>
                <w:sz w:val="19"/>
              </w:rPr>
              <w:t>EBIT - Net Non-Operating Expense = EBT</w:t>
            </w:r>
          </w:p>
        </w:tc>
        <w:tc>
          <w:tcPr>
            <w:tcW w:type="dxa" w:w="3760"/>
            <w:vAlign w:val="center"/>
            <w:tcMar>
              <w:top w:w="80" w:type="dxa"/>
              <w:start w:w="120" w:type="dxa"/>
              <w:bottom w:w="80" w:type="dxa"/>
              <w:end w:w="120" w:type="dxa"/>
            </w:tcMar>
          </w:tcPr>
          <w:p>
            <w:pPr>
              <w:spacing w:after="0"/>
            </w:pPr>
            <w:r>
              <w:rPr>
                <w:rFonts w:ascii="Calibri" w:hAnsi="Calibri"/>
                <w:b w:val="0"/>
                <w:color w:val="000000"/>
                <w:sz w:val="19"/>
              </w:rPr>
              <w:t>20,451 - 284 = 20,167</w:t>
            </w:r>
          </w:p>
        </w:tc>
      </w:tr>
      <w:tr>
        <w:tc>
          <w:tcPr>
            <w:tcW w:type="dxa" w:w="5600"/>
            <w:shd w:fill="FAFBFC"/>
            <w:vAlign w:val="center"/>
            <w:tcMar>
              <w:top w:w="80" w:type="dxa"/>
              <w:start w:w="120" w:type="dxa"/>
              <w:bottom w:w="80" w:type="dxa"/>
              <w:end w:w="120" w:type="dxa"/>
            </w:tcMar>
          </w:tcPr>
          <w:p>
            <w:pPr>
              <w:spacing w:after="0"/>
            </w:pPr>
            <w:r>
              <w:rPr>
                <w:rFonts w:ascii="Calibri" w:hAnsi="Calibri"/>
                <w:b/>
                <w:color w:val="000000"/>
                <w:sz w:val="19"/>
              </w:rPr>
              <w:t>EBT - Income Taxes = Net Earnings</w:t>
            </w:r>
          </w:p>
        </w:tc>
        <w:tc>
          <w:tcPr>
            <w:tcW w:type="dxa" w:w="3760"/>
            <w:shd w:fill="FAFBFC"/>
            <w:vAlign w:val="center"/>
            <w:tcMar>
              <w:top w:w="80" w:type="dxa"/>
              <w:start w:w="120" w:type="dxa"/>
              <w:bottom w:w="80" w:type="dxa"/>
              <w:end w:w="120" w:type="dxa"/>
            </w:tcMar>
          </w:tcPr>
          <w:p>
            <w:pPr>
              <w:spacing w:after="0"/>
            </w:pPr>
            <w:r>
              <w:rPr>
                <w:rFonts w:ascii="Calibri" w:hAnsi="Calibri"/>
                <w:b w:val="0"/>
                <w:color w:val="000000"/>
                <w:sz w:val="19"/>
              </w:rPr>
              <w:t>20,167 - 4,102 = 16,065</w:t>
            </w:r>
          </w:p>
        </w:tc>
      </w:tr>
    </w:tbl>
    <w:p>
      <w:pPr>
        <w:spacing w:after="0"/>
      </w:pPr>
    </w:p>
    <w:p>
      <w:pPr>
        <w:pStyle w:val="Heading2"/>
      </w:pPr>
      <w:r>
        <w:t>Required labels</w:t>
      </w:r>
    </w:p>
    <w:p>
      <w:pPr>
        <w:pStyle w:val="ListBullet"/>
      </w:pPr>
      <w:r>
        <w:t>Dollar amount in USD millions or clearly labeled billions.</w:t>
      </w:r>
    </w:p>
    <w:p>
      <w:pPr>
        <w:pStyle w:val="ListBullet"/>
      </w:pPr>
      <w:r>
        <w:t>Percentage of net sales for each major node.</w:t>
      </w:r>
    </w:p>
    <w:p>
      <w:pPr>
        <w:pStyle w:val="ListBullet"/>
      </w:pPr>
      <w:r>
        <w:t>Audited fiscal year and source statement.</w:t>
      </w:r>
    </w:p>
    <w:p>
      <w:pPr>
        <w:pStyle w:val="ListBullet"/>
      </w:pPr>
      <w:r>
        <w:t>Clear operating/non-operating classification.</w:t>
      </w:r>
    </w:p>
    <w:p>
      <w:pPr>
        <w:pStyle w:val="ListBullet"/>
      </w:pPr>
      <w:r>
        <w:t>Flow widths proportional to the same values printed in the labels.</w:t>
      </w:r>
    </w:p>
    <w:p>
      <w:pPr>
        <w:pStyle w:val="Heading2"/>
      </w:pPr>
      <w:r>
        <w:t>What the chart should mean</w:t>
      </w:r>
    </w:p>
    <w:p>
      <w:r>
        <w:t>For each $1.00 of FY2025 net sales, about $0.49 went to product costs, $0.27 went to SG&amp;A, $0.24 remained as EBIT, and $0.19 remained as consolidated net earnings. Your explanation must distinguish a useful insight from a restatement of labels.</w:t>
      </w:r>
    </w:p>
    <w:p>
      <w:pPr>
        <w:pStyle w:val="Heading2"/>
      </w:pPr>
      <w:r>
        <w:t>Audit questions</w:t>
      </w:r>
    </w:p>
    <w:p>
      <w:pPr>
        <w:pStyle w:val="ListBullet"/>
      </w:pPr>
      <w:r>
        <w:t>Does each source node equal the sum of outgoing flows?</w:t>
      </w:r>
    </w:p>
    <w:p>
      <w:pPr>
        <w:pStyle w:val="ListBullet"/>
      </w:pPr>
      <w:r>
        <w:t>Does each target node equal the sum of incoming flows?</w:t>
      </w:r>
    </w:p>
    <w:p>
      <w:pPr>
        <w:pStyle w:val="ListBullet"/>
      </w:pPr>
      <w:r>
        <w:t>Did the program place interest expense after EBIT?</w:t>
      </w:r>
    </w:p>
    <w:p>
      <w:pPr>
        <w:pStyle w:val="ListBullet"/>
      </w:pPr>
      <w:r>
        <w:t>Did the program explain the difference between consolidated net earnings and net earnings attributable to P&amp;G?</w:t>
      </w:r>
    </w:p>
    <w:p>
      <w:pPr>
        <w:pStyle w:val="ListBullet"/>
      </w:pPr>
      <w:r>
        <w:t>Could the colors or labels imply a classification that the accounting does not support?</w:t>
      </w:r>
    </w:p>
    <w:p>
      <w:pPr>
        <w:pStyle w:val="Heading1"/>
      </w:pPr>
      <w:r>
        <w:t>7. Visualization 2 - Free Cash Flow Waterfall</w:t>
      </w:r>
    </w:p>
    <w:p>
      <w:r>
        <w:t>Build a waterfall that starts with EBIT and ends with P&amp;G adjusted FCF. Show textbook FCF, cash FCF, and adjusted FCF as separate totals. Do not hide the reconciliation residual.</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1900"/>
        <w:gridCol w:w="4600"/>
        <w:gridCol w:w="2860"/>
      </w:tblGrid>
      <w:tr>
        <w:trPr>
          <w:tblHeader w:val="true"/>
        </w:trPr>
        <w:tc>
          <w:tcPr>
            <w:tcW w:type="dxa" w:w="1900"/>
            <w:vAlign w:val="center"/>
            <w:tcMar>
              <w:top w:w="80" w:type="dxa"/>
              <w:start w:w="120" w:type="dxa"/>
              <w:bottom w:w="80" w:type="dxa"/>
              <w:end w:w="120" w:type="dxa"/>
            </w:tcMar>
            <w:shd w:fill="E8EEF5"/>
          </w:tcPr>
          <w:p>
            <w:pPr>
              <w:spacing w:after="0"/>
            </w:pPr>
            <w:r>
              <w:rPr>
                <w:rFonts w:ascii="Calibri" w:hAnsi="Calibri"/>
                <w:b/>
                <w:color w:val="0B2545"/>
                <w:sz w:val="17"/>
              </w:rPr>
              <w:t>Calculation</w:t>
            </w:r>
          </w:p>
        </w:tc>
        <w:tc>
          <w:tcPr>
            <w:tcW w:type="dxa" w:w="4600"/>
            <w:vAlign w:val="center"/>
            <w:tcMar>
              <w:top w:w="80" w:type="dxa"/>
              <w:start w:w="120" w:type="dxa"/>
              <w:bottom w:w="80" w:type="dxa"/>
              <w:end w:w="120" w:type="dxa"/>
            </w:tcMar>
            <w:shd w:fill="E8EEF5"/>
          </w:tcPr>
          <w:p>
            <w:pPr>
              <w:spacing w:after="0"/>
            </w:pPr>
            <w:r>
              <w:rPr>
                <w:rFonts w:ascii="Calibri" w:hAnsi="Calibri"/>
                <w:b/>
                <w:color w:val="0B2545"/>
                <w:sz w:val="17"/>
              </w:rPr>
              <w:t>Formula</w:t>
            </w:r>
          </w:p>
        </w:tc>
        <w:tc>
          <w:tcPr>
            <w:tcW w:type="dxa" w:w="2860"/>
            <w:vAlign w:val="center"/>
            <w:tcMar>
              <w:top w:w="80" w:type="dxa"/>
              <w:start w:w="120" w:type="dxa"/>
              <w:bottom w:w="80" w:type="dxa"/>
              <w:end w:w="120" w:type="dxa"/>
            </w:tcMar>
            <w:shd w:fill="E8EEF5"/>
          </w:tcPr>
          <w:p>
            <w:pPr>
              <w:spacing w:after="0"/>
            </w:pPr>
            <w:r>
              <w:rPr>
                <w:rFonts w:ascii="Calibri" w:hAnsi="Calibri"/>
                <w:b/>
                <w:color w:val="0B2545"/>
                <w:sz w:val="17"/>
              </w:rPr>
              <w:t>FY2025 result</w:t>
            </w:r>
          </w:p>
        </w:tc>
      </w:tr>
      <w:tr>
        <w:tc>
          <w:tcPr>
            <w:tcW w:type="dxa" w:w="1900"/>
            <w:vAlign w:val="center"/>
            <w:tcMar>
              <w:top w:w="80" w:type="dxa"/>
              <w:start w:w="120" w:type="dxa"/>
              <w:bottom w:w="80" w:type="dxa"/>
              <w:end w:w="120" w:type="dxa"/>
            </w:tcMar>
          </w:tcPr>
          <w:p>
            <w:pPr>
              <w:spacing w:after="0"/>
            </w:pPr>
            <w:r>
              <w:rPr>
                <w:rFonts w:ascii="Calibri" w:hAnsi="Calibri"/>
                <w:b w:val="0"/>
                <w:color w:val="000000"/>
                <w:sz w:val="17"/>
              </w:rPr>
              <w:t>Effective tax rate</w:t>
            </w:r>
          </w:p>
        </w:tc>
        <w:tc>
          <w:tcPr>
            <w:tcW w:type="dxa" w:w="4600"/>
            <w:vAlign w:val="center"/>
            <w:tcMar>
              <w:top w:w="80" w:type="dxa"/>
              <w:start w:w="120" w:type="dxa"/>
              <w:bottom w:w="80" w:type="dxa"/>
              <w:end w:w="120" w:type="dxa"/>
            </w:tcMar>
          </w:tcPr>
          <w:p>
            <w:pPr>
              <w:spacing w:after="0"/>
            </w:pPr>
            <w:r>
              <w:rPr>
                <w:rFonts w:ascii="Calibri" w:hAnsi="Calibri"/>
                <w:b w:val="0"/>
                <w:color w:val="000000"/>
                <w:sz w:val="17"/>
              </w:rPr>
              <w:t>Income Taxes / EBT</w:t>
            </w:r>
          </w:p>
        </w:tc>
        <w:tc>
          <w:tcPr>
            <w:tcW w:type="dxa" w:w="2860"/>
            <w:vAlign w:val="center"/>
            <w:tcMar>
              <w:top w:w="80" w:type="dxa"/>
              <w:start w:w="120" w:type="dxa"/>
              <w:bottom w:w="80" w:type="dxa"/>
              <w:end w:w="120" w:type="dxa"/>
            </w:tcMar>
          </w:tcPr>
          <w:p>
            <w:pPr>
              <w:spacing w:after="0"/>
            </w:pPr>
            <w:r>
              <w:rPr>
                <w:rFonts w:ascii="Calibri" w:hAnsi="Calibri"/>
                <w:b w:val="0"/>
                <w:color w:val="000000"/>
                <w:sz w:val="17"/>
              </w:rPr>
              <w:t>20.34%</w:t>
            </w:r>
          </w:p>
        </w:tc>
      </w:tr>
      <w:tr>
        <w:tc>
          <w:tcPr>
            <w:tcW w:type="dxa" w:w="1900"/>
            <w:shd w:fill="FAFBFC"/>
            <w:vAlign w:val="center"/>
            <w:tcMar>
              <w:top w:w="80" w:type="dxa"/>
              <w:start w:w="120" w:type="dxa"/>
              <w:bottom w:w="80" w:type="dxa"/>
              <w:end w:w="120" w:type="dxa"/>
            </w:tcMar>
          </w:tcPr>
          <w:p>
            <w:pPr>
              <w:spacing w:after="0"/>
            </w:pPr>
            <w:r>
              <w:rPr>
                <w:rFonts w:ascii="Calibri" w:hAnsi="Calibri"/>
                <w:b w:val="0"/>
                <w:color w:val="000000"/>
                <w:sz w:val="17"/>
              </w:rPr>
              <w:t>NOPAT</w:t>
            </w:r>
          </w:p>
        </w:tc>
        <w:tc>
          <w:tcPr>
            <w:tcW w:type="dxa" w:w="4600"/>
            <w:shd w:fill="FAFBFC"/>
            <w:vAlign w:val="center"/>
            <w:tcMar>
              <w:top w:w="80" w:type="dxa"/>
              <w:start w:w="120" w:type="dxa"/>
              <w:bottom w:w="80" w:type="dxa"/>
              <w:end w:w="120" w:type="dxa"/>
            </w:tcMar>
          </w:tcPr>
          <w:p>
            <w:pPr>
              <w:spacing w:after="0"/>
            </w:pPr>
            <w:r>
              <w:rPr>
                <w:rFonts w:ascii="Calibri" w:hAnsi="Calibri"/>
                <w:b w:val="0"/>
                <w:color w:val="000000"/>
                <w:sz w:val="17"/>
              </w:rPr>
              <w:t>EBIT x (1 - tax rate)</w:t>
            </w:r>
          </w:p>
        </w:tc>
        <w:tc>
          <w:tcPr>
            <w:tcW w:type="dxa" w:w="2860"/>
            <w:shd w:fill="FAFBFC"/>
            <w:vAlign w:val="center"/>
            <w:tcMar>
              <w:top w:w="80" w:type="dxa"/>
              <w:start w:w="120" w:type="dxa"/>
              <w:bottom w:w="80" w:type="dxa"/>
              <w:end w:w="120" w:type="dxa"/>
            </w:tcMar>
          </w:tcPr>
          <w:p>
            <w:pPr>
              <w:spacing w:after="0"/>
            </w:pPr>
            <w:r>
              <w:rPr>
                <w:rFonts w:ascii="Calibri" w:hAnsi="Calibri"/>
                <w:b w:val="0"/>
                <w:color w:val="000000"/>
                <w:sz w:val="17"/>
              </w:rPr>
              <w:t>$16,291.23M</w:t>
            </w:r>
          </w:p>
        </w:tc>
      </w:tr>
      <w:tr>
        <w:tc>
          <w:tcPr>
            <w:tcW w:type="dxa" w:w="1900"/>
            <w:vAlign w:val="center"/>
            <w:tcMar>
              <w:top w:w="80" w:type="dxa"/>
              <w:start w:w="120" w:type="dxa"/>
              <w:bottom w:w="80" w:type="dxa"/>
              <w:end w:w="120" w:type="dxa"/>
            </w:tcMar>
          </w:tcPr>
          <w:p>
            <w:pPr>
              <w:spacing w:after="0"/>
            </w:pPr>
            <w:r>
              <w:rPr>
                <w:rFonts w:ascii="Calibri" w:hAnsi="Calibri"/>
                <w:b w:val="0"/>
                <w:color w:val="000000"/>
                <w:sz w:val="17"/>
              </w:rPr>
              <w:t>Operating NOWC</w:t>
            </w:r>
          </w:p>
        </w:tc>
        <w:tc>
          <w:tcPr>
            <w:tcW w:type="dxa" w:w="4600"/>
            <w:vAlign w:val="center"/>
            <w:tcMar>
              <w:top w:w="80" w:type="dxa"/>
              <w:start w:w="120" w:type="dxa"/>
              <w:bottom w:w="80" w:type="dxa"/>
              <w:end w:w="120" w:type="dxa"/>
            </w:tcMar>
          </w:tcPr>
          <w:p>
            <w:pPr>
              <w:spacing w:after="0"/>
            </w:pPr>
            <w:r>
              <w:rPr>
                <w:rFonts w:ascii="Calibri" w:hAnsi="Calibri"/>
                <w:b w:val="0"/>
                <w:color w:val="000000"/>
                <w:sz w:val="17"/>
              </w:rPr>
              <w:t>AR + Inventory + Prepaids - AP - Accrued Liabilities</w:t>
            </w:r>
          </w:p>
        </w:tc>
        <w:tc>
          <w:tcPr>
            <w:tcW w:type="dxa" w:w="2860"/>
            <w:vAlign w:val="center"/>
            <w:tcMar>
              <w:top w:w="80" w:type="dxa"/>
              <w:start w:w="120" w:type="dxa"/>
              <w:bottom w:w="80" w:type="dxa"/>
              <w:end w:w="120" w:type="dxa"/>
            </w:tcMar>
          </w:tcPr>
          <w:p>
            <w:pPr>
              <w:spacing w:after="0"/>
            </w:pPr>
            <w:r>
              <w:rPr>
                <w:rFonts w:ascii="Calibri" w:hAnsi="Calibri"/>
                <w:b w:val="0"/>
                <w:color w:val="000000"/>
                <w:sz w:val="17"/>
              </w:rPr>
              <w:t>FY25: -$10,709M; FY24: -$11,208M</w:t>
            </w:r>
          </w:p>
        </w:tc>
      </w:tr>
      <w:tr>
        <w:tc>
          <w:tcPr>
            <w:tcW w:type="dxa" w:w="1900"/>
            <w:shd w:fill="FAFBFC"/>
            <w:vAlign w:val="center"/>
            <w:tcMar>
              <w:top w:w="80" w:type="dxa"/>
              <w:start w:w="120" w:type="dxa"/>
              <w:bottom w:w="80" w:type="dxa"/>
              <w:end w:w="120" w:type="dxa"/>
            </w:tcMar>
          </w:tcPr>
          <w:p>
            <w:pPr>
              <w:spacing w:after="0"/>
            </w:pPr>
            <w:r>
              <w:rPr>
                <w:rFonts w:ascii="Calibri" w:hAnsi="Calibri"/>
                <w:b w:val="0"/>
                <w:color w:val="000000"/>
                <w:sz w:val="17"/>
              </w:rPr>
              <w:t>Change in NOWC</w:t>
            </w:r>
          </w:p>
        </w:tc>
        <w:tc>
          <w:tcPr>
            <w:tcW w:type="dxa" w:w="4600"/>
            <w:shd w:fill="FAFBFC"/>
            <w:vAlign w:val="center"/>
            <w:tcMar>
              <w:top w:w="80" w:type="dxa"/>
              <w:start w:w="120" w:type="dxa"/>
              <w:bottom w:w="80" w:type="dxa"/>
              <w:end w:w="120" w:type="dxa"/>
            </w:tcMar>
          </w:tcPr>
          <w:p>
            <w:pPr>
              <w:spacing w:after="0"/>
            </w:pPr>
            <w:r>
              <w:rPr>
                <w:rFonts w:ascii="Calibri" w:hAnsi="Calibri"/>
                <w:b w:val="0"/>
                <w:color w:val="000000"/>
                <w:sz w:val="17"/>
              </w:rPr>
              <w:t>FY2025 NOWC - FY2024 NOWC</w:t>
            </w:r>
          </w:p>
        </w:tc>
        <w:tc>
          <w:tcPr>
            <w:tcW w:type="dxa" w:w="2860"/>
            <w:shd w:fill="FAFBFC"/>
            <w:vAlign w:val="center"/>
            <w:tcMar>
              <w:top w:w="80" w:type="dxa"/>
              <w:start w:w="120" w:type="dxa"/>
              <w:bottom w:w="80" w:type="dxa"/>
              <w:end w:w="120" w:type="dxa"/>
            </w:tcMar>
          </w:tcPr>
          <w:p>
            <w:pPr>
              <w:spacing w:after="0"/>
            </w:pPr>
            <w:r>
              <w:rPr>
                <w:rFonts w:ascii="Calibri" w:hAnsi="Calibri"/>
                <w:b w:val="0"/>
                <w:color w:val="000000"/>
                <w:sz w:val="17"/>
              </w:rPr>
              <w:t>$499M use of cash</w:t>
            </w:r>
          </w:p>
        </w:tc>
      </w:tr>
      <w:tr>
        <w:tc>
          <w:tcPr>
            <w:tcW w:type="dxa" w:w="1900"/>
            <w:vAlign w:val="center"/>
            <w:tcMar>
              <w:top w:w="80" w:type="dxa"/>
              <w:start w:w="120" w:type="dxa"/>
              <w:bottom w:w="80" w:type="dxa"/>
              <w:end w:w="120" w:type="dxa"/>
            </w:tcMar>
          </w:tcPr>
          <w:p>
            <w:pPr>
              <w:spacing w:after="0"/>
            </w:pPr>
            <w:r>
              <w:rPr>
                <w:rFonts w:ascii="Calibri" w:hAnsi="Calibri"/>
                <w:b w:val="0"/>
                <w:color w:val="000000"/>
                <w:sz w:val="17"/>
              </w:rPr>
              <w:t>Textbook FCF</w:t>
            </w:r>
          </w:p>
        </w:tc>
        <w:tc>
          <w:tcPr>
            <w:tcW w:type="dxa" w:w="4600"/>
            <w:vAlign w:val="center"/>
            <w:tcMar>
              <w:top w:w="80" w:type="dxa"/>
              <w:start w:w="120" w:type="dxa"/>
              <w:bottom w:w="80" w:type="dxa"/>
              <w:end w:w="120" w:type="dxa"/>
            </w:tcMar>
          </w:tcPr>
          <w:p>
            <w:pPr>
              <w:spacing w:after="0"/>
            </w:pPr>
            <w:r>
              <w:rPr>
                <w:rFonts w:ascii="Calibri" w:hAnsi="Calibri"/>
                <w:b w:val="0"/>
                <w:color w:val="000000"/>
                <w:sz w:val="17"/>
              </w:rPr>
              <w:t>NOPAT + D&amp;A - CapEx - change in NOWC</w:t>
            </w:r>
          </w:p>
        </w:tc>
        <w:tc>
          <w:tcPr>
            <w:tcW w:type="dxa" w:w="2860"/>
            <w:vAlign w:val="center"/>
            <w:tcMar>
              <w:top w:w="80" w:type="dxa"/>
              <w:start w:w="120" w:type="dxa"/>
              <w:bottom w:w="80" w:type="dxa"/>
              <w:end w:w="120" w:type="dxa"/>
            </w:tcMar>
          </w:tcPr>
          <w:p>
            <w:pPr>
              <w:spacing w:after="0"/>
            </w:pPr>
            <w:r>
              <w:rPr>
                <w:rFonts w:ascii="Calibri" w:hAnsi="Calibri"/>
                <w:b w:val="0"/>
                <w:color w:val="000000"/>
                <w:sz w:val="17"/>
              </w:rPr>
              <w:t>$14,866.23M</w:t>
            </w:r>
          </w:p>
        </w:tc>
      </w:tr>
      <w:tr>
        <w:tc>
          <w:tcPr>
            <w:tcW w:type="dxa" w:w="1900"/>
            <w:shd w:fill="FAFBFC"/>
            <w:vAlign w:val="center"/>
            <w:tcMar>
              <w:top w:w="80" w:type="dxa"/>
              <w:start w:w="120" w:type="dxa"/>
              <w:bottom w:w="80" w:type="dxa"/>
              <w:end w:w="120" w:type="dxa"/>
            </w:tcMar>
          </w:tcPr>
          <w:p>
            <w:pPr>
              <w:spacing w:after="0"/>
            </w:pPr>
            <w:r>
              <w:rPr>
                <w:rFonts w:ascii="Calibri" w:hAnsi="Calibri"/>
                <w:b w:val="0"/>
                <w:color w:val="000000"/>
                <w:sz w:val="17"/>
              </w:rPr>
              <w:t>Cash FCF</w:t>
            </w:r>
          </w:p>
        </w:tc>
        <w:tc>
          <w:tcPr>
            <w:tcW w:type="dxa" w:w="4600"/>
            <w:shd w:fill="FAFBFC"/>
            <w:vAlign w:val="center"/>
            <w:tcMar>
              <w:top w:w="80" w:type="dxa"/>
              <w:start w:w="120" w:type="dxa"/>
              <w:bottom w:w="80" w:type="dxa"/>
              <w:end w:w="120" w:type="dxa"/>
            </w:tcMar>
          </w:tcPr>
          <w:p>
            <w:pPr>
              <w:spacing w:after="0"/>
            </w:pPr>
            <w:r>
              <w:rPr>
                <w:rFonts w:ascii="Calibri" w:hAnsi="Calibri"/>
                <w:b w:val="0"/>
                <w:color w:val="000000"/>
                <w:sz w:val="17"/>
              </w:rPr>
              <w:t>Cash Flow from Operations - CapEx</w:t>
            </w:r>
          </w:p>
        </w:tc>
        <w:tc>
          <w:tcPr>
            <w:tcW w:type="dxa" w:w="2860"/>
            <w:shd w:fill="FAFBFC"/>
            <w:vAlign w:val="center"/>
            <w:tcMar>
              <w:top w:w="80" w:type="dxa"/>
              <w:start w:w="120" w:type="dxa"/>
              <w:bottom w:w="80" w:type="dxa"/>
              <w:end w:w="120" w:type="dxa"/>
            </w:tcMar>
          </w:tcPr>
          <w:p>
            <w:pPr>
              <w:spacing w:after="0"/>
            </w:pPr>
            <w:r>
              <w:rPr>
                <w:rFonts w:ascii="Calibri" w:hAnsi="Calibri"/>
                <w:b w:val="0"/>
                <w:color w:val="000000"/>
                <w:sz w:val="17"/>
              </w:rPr>
              <w:t>$14,044M</w:t>
            </w:r>
          </w:p>
        </w:tc>
      </w:tr>
      <w:tr>
        <w:tc>
          <w:tcPr>
            <w:tcW w:type="dxa" w:w="1900"/>
            <w:vAlign w:val="center"/>
            <w:tcMar>
              <w:top w:w="80" w:type="dxa"/>
              <w:start w:w="120" w:type="dxa"/>
              <w:bottom w:w="80" w:type="dxa"/>
              <w:end w:w="120" w:type="dxa"/>
            </w:tcMar>
          </w:tcPr>
          <w:p>
            <w:pPr>
              <w:spacing w:after="0"/>
            </w:pPr>
            <w:r>
              <w:rPr>
                <w:rFonts w:ascii="Calibri" w:hAnsi="Calibri"/>
                <w:b w:val="0"/>
                <w:color w:val="000000"/>
                <w:sz w:val="17"/>
              </w:rPr>
              <w:t>Other operating bridge</w:t>
            </w:r>
          </w:p>
        </w:tc>
        <w:tc>
          <w:tcPr>
            <w:tcW w:type="dxa" w:w="4600"/>
            <w:vAlign w:val="center"/>
            <w:tcMar>
              <w:top w:w="80" w:type="dxa"/>
              <w:start w:w="120" w:type="dxa"/>
              <w:bottom w:w="80" w:type="dxa"/>
              <w:end w:w="120" w:type="dxa"/>
            </w:tcMar>
          </w:tcPr>
          <w:p>
            <w:pPr>
              <w:spacing w:after="0"/>
            </w:pPr>
            <w:r>
              <w:rPr>
                <w:rFonts w:ascii="Calibri" w:hAnsi="Calibri"/>
                <w:b w:val="0"/>
                <w:color w:val="000000"/>
                <w:sz w:val="17"/>
              </w:rPr>
              <w:t>Cash FCF - Textbook FCF</w:t>
            </w:r>
          </w:p>
        </w:tc>
        <w:tc>
          <w:tcPr>
            <w:tcW w:type="dxa" w:w="2860"/>
            <w:vAlign w:val="center"/>
            <w:tcMar>
              <w:top w:w="80" w:type="dxa"/>
              <w:start w:w="120" w:type="dxa"/>
              <w:bottom w:w="80" w:type="dxa"/>
              <w:end w:w="120" w:type="dxa"/>
            </w:tcMar>
          </w:tcPr>
          <w:p>
            <w:pPr>
              <w:spacing w:after="0"/>
            </w:pPr>
            <w:r>
              <w:rPr>
                <w:rFonts w:ascii="Calibri" w:hAnsi="Calibri"/>
                <w:b w:val="0"/>
                <w:color w:val="000000"/>
                <w:sz w:val="17"/>
              </w:rPr>
              <w:t>-$822.23M</w:t>
            </w:r>
          </w:p>
        </w:tc>
      </w:tr>
      <w:tr>
        <w:tc>
          <w:tcPr>
            <w:tcW w:type="dxa" w:w="1900"/>
            <w:shd w:fill="FAFBFC"/>
            <w:vAlign w:val="center"/>
            <w:tcMar>
              <w:top w:w="80" w:type="dxa"/>
              <w:start w:w="120" w:type="dxa"/>
              <w:bottom w:w="80" w:type="dxa"/>
              <w:end w:w="120" w:type="dxa"/>
            </w:tcMar>
          </w:tcPr>
          <w:p>
            <w:pPr>
              <w:spacing w:after="0"/>
            </w:pPr>
            <w:r>
              <w:rPr>
                <w:rFonts w:ascii="Calibri" w:hAnsi="Calibri"/>
                <w:b w:val="0"/>
                <w:color w:val="000000"/>
                <w:sz w:val="17"/>
              </w:rPr>
              <w:t>P&amp;G adjusted FCF</w:t>
            </w:r>
          </w:p>
        </w:tc>
        <w:tc>
          <w:tcPr>
            <w:tcW w:type="dxa" w:w="4600"/>
            <w:shd w:fill="FAFBFC"/>
            <w:vAlign w:val="center"/>
            <w:tcMar>
              <w:top w:w="80" w:type="dxa"/>
              <w:start w:w="120" w:type="dxa"/>
              <w:bottom w:w="80" w:type="dxa"/>
              <w:end w:w="120" w:type="dxa"/>
            </w:tcMar>
          </w:tcPr>
          <w:p>
            <w:pPr>
              <w:spacing w:after="0"/>
            </w:pPr>
            <w:r>
              <w:rPr>
                <w:rFonts w:ascii="Calibri" w:hAnsi="Calibri"/>
                <w:b w:val="0"/>
                <w:color w:val="000000"/>
                <w:sz w:val="17"/>
              </w:rPr>
              <w:t>Cash FCF + 2017 Tax Act payment add-back</w:t>
            </w:r>
          </w:p>
        </w:tc>
        <w:tc>
          <w:tcPr>
            <w:tcW w:type="dxa" w:w="2860"/>
            <w:shd w:fill="FAFBFC"/>
            <w:vAlign w:val="center"/>
            <w:tcMar>
              <w:top w:w="80" w:type="dxa"/>
              <w:start w:w="120" w:type="dxa"/>
              <w:bottom w:w="80" w:type="dxa"/>
              <w:end w:w="120" w:type="dxa"/>
            </w:tcMar>
          </w:tcPr>
          <w:p>
            <w:pPr>
              <w:spacing w:after="0"/>
            </w:pPr>
            <w:r>
              <w:rPr>
                <w:rFonts w:ascii="Calibri" w:hAnsi="Calibri"/>
                <w:b w:val="0"/>
                <w:color w:val="000000"/>
                <w:sz w:val="17"/>
              </w:rPr>
              <w:t>$14,606M (non-GAAP)</w:t>
            </w:r>
          </w:p>
        </w:tc>
      </w:tr>
    </w:tbl>
    <w:p>
      <w:pPr>
        <w:spacing w:after="0"/>
      </w:pPr>
    </w:p>
    <w:tbl>
      <w:tblPr>
        <w:tblW w:type="dxa" w:w="9360"/>
        <w:jc w:val="left"/>
        <w:tblLayout w:type="fixed"/>
        <w:tblLook w:firstColumn="1" w:firstRow="1" w:lastColumn="0" w:lastRow="0" w:noHBand="0" w:noVBand="1" w:val="04A0"/>
        <w:tblInd w:w="120" w:type="dxa"/>
        <w:tblBorders>
          <w:top w:val="single" w:sz="1" w:space="0" w:color="F3F8FC"/>
          <w:left w:val="single" w:sz="1" w:space="0" w:color="F3F8FC"/>
          <w:bottom w:val="single" w:sz="1" w:space="0" w:color="F3F8FC"/>
          <w:right w:val="single" w:sz="1" w:space="0" w:color="F3F8FC"/>
          <w:insideH w:val="single" w:sz="1" w:space="0" w:color="F3F8FC"/>
          <w:insideV w:val="single" w:sz="1" w:space="0" w:color="F3F8FC"/>
        </w:tblBorders>
      </w:tblPr>
      <w:tblGrid>
        <w:gridCol w:w="9360"/>
      </w:tblGrid>
      <w:tr>
        <w:tc>
          <w:tcPr>
            <w:tcW w:type="dxa" w:w="9360"/>
            <w:vAlign w:val="center"/>
            <w:tcMar>
              <w:top w:w="80" w:type="dxa"/>
              <w:start w:w="120" w:type="dxa"/>
              <w:bottom w:w="80" w:type="dxa"/>
              <w:end w:w="120" w:type="dxa"/>
            </w:tcMar>
            <w:shd w:fill="F3F8FC"/>
          </w:tcPr>
          <w:p>
            <w:pPr>
              <w:spacing w:after="0"/>
            </w:pPr>
            <w:r>
              <w:rPr>
                <w:rFonts w:ascii="Calibri" w:hAnsi="Calibri"/>
                <w:b/>
                <w:color w:val="2E74B5"/>
                <w:sz w:val="21"/>
              </w:rPr>
              <w:t xml:space="preserve">Interpretation: </w:t>
            </w:r>
            <w:r>
              <w:rPr>
                <w:rFonts w:ascii="Calibri" w:hAnsi="Calibri"/>
                <w:color w:val="000000"/>
                <w:sz w:val="21"/>
              </w:rPr>
              <w:t>Textbook FCF and cash FCF answer related but different questions. The residual reflects operating accruals, noncash items, and timing effects not fully represented by the simplified NOWC definition. P&amp;G adjusted FCF then applies a company-defined add-back.</w:t>
            </w:r>
          </w:p>
        </w:tc>
      </w:tr>
    </w:tbl>
    <w:p>
      <w:pPr>
        <w:spacing w:after="0"/>
      </w:pPr>
    </w:p>
    <w:p>
      <w:pPr>
        <w:pStyle w:val="Heading2"/>
      </w:pPr>
      <w:r>
        <w:t>Common AI failure</w:t>
      </w:r>
    </w:p>
    <w:p>
      <w:pPr>
        <w:pStyle w:val="CodeBlock"/>
        <w:keepLines/>
      </w:pPr>
      <w:r>
        <w:t>raw_capex = -3773</w:t>
      </w:r>
    </w:p>
    <w:p>
      <w:pPr>
        <w:pStyle w:val="CodeBlock"/>
        <w:keepLines/>
      </w:pPr>
      <w:r>
        <w:t>wrong_fcf = nopat + da - raw_capex - delta_nowc  # subtracting a negative adds CapEx</w:t>
      </w:r>
    </w:p>
    <w:p>
      <w:pPr>
        <w:pStyle w:val="CodeBlock"/>
        <w:keepLines/>
      </w:pPr>
      <w:r>
        <w:t>capex = abs(raw_capex)</w:t>
      </w:r>
    </w:p>
    <w:p>
      <w:pPr>
        <w:pStyle w:val="CodeBlock"/>
        <w:keepLines/>
      </w:pPr>
      <w:r>
        <w:t>right_fcf = nopat + da - capex - delta_nowc</w:t>
      </w:r>
    </w:p>
    <w:p>
      <w:pPr>
        <w:pStyle w:val="Heading1"/>
      </w:pPr>
      <w:r>
        <w:t>8. Visualization 3 - Five-Year Revenue and EPS Trend</w:t>
      </w:r>
    </w:p>
    <w:p>
      <w:r>
        <w:t>Create one visualization for FY2021-FY2025 using net sales and GAAP diluted EPS. The units differ, so the chart must make both scales explicit and avoid implying that the two series have identical economic meaning.</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2200"/>
        <w:gridCol w:w="3500"/>
        <w:gridCol w:w="3660"/>
      </w:tblGrid>
      <w:tr>
        <w:trPr>
          <w:tblHeader w:val="true"/>
        </w:trPr>
        <w:tc>
          <w:tcPr>
            <w:tcW w:type="dxa" w:w="2200"/>
            <w:vAlign w:val="center"/>
            <w:tcMar>
              <w:top w:w="80" w:type="dxa"/>
              <w:start w:w="120" w:type="dxa"/>
              <w:bottom w:w="80" w:type="dxa"/>
              <w:end w:w="120" w:type="dxa"/>
            </w:tcMar>
            <w:shd w:fill="E8EEF5"/>
          </w:tcPr>
          <w:p>
            <w:pPr>
              <w:spacing w:after="0"/>
            </w:pPr>
            <w:r>
              <w:rPr>
                <w:rFonts w:ascii="Calibri" w:hAnsi="Calibri"/>
                <w:b/>
                <w:color w:val="0B2545"/>
                <w:sz w:val="19"/>
              </w:rPr>
              <w:t>Fiscal year</w:t>
            </w:r>
          </w:p>
        </w:tc>
        <w:tc>
          <w:tcPr>
            <w:tcW w:type="dxa" w:w="3500"/>
            <w:vAlign w:val="center"/>
            <w:tcMar>
              <w:top w:w="80" w:type="dxa"/>
              <w:start w:w="120" w:type="dxa"/>
              <w:bottom w:w="80" w:type="dxa"/>
              <w:end w:w="120" w:type="dxa"/>
            </w:tcMar>
            <w:shd w:fill="E8EEF5"/>
          </w:tcPr>
          <w:p>
            <w:pPr>
              <w:spacing w:after="0"/>
            </w:pPr>
            <w:r>
              <w:rPr>
                <w:rFonts w:ascii="Calibri" w:hAnsi="Calibri"/>
                <w:b/>
                <w:color w:val="0B2545"/>
                <w:sz w:val="19"/>
              </w:rPr>
              <w:t>Net sales ($M)</w:t>
            </w:r>
          </w:p>
        </w:tc>
        <w:tc>
          <w:tcPr>
            <w:tcW w:type="dxa" w:w="3660"/>
            <w:vAlign w:val="center"/>
            <w:tcMar>
              <w:top w:w="80" w:type="dxa"/>
              <w:start w:w="120" w:type="dxa"/>
              <w:bottom w:w="80" w:type="dxa"/>
              <w:end w:w="120" w:type="dxa"/>
            </w:tcMar>
            <w:shd w:fill="E8EEF5"/>
          </w:tcPr>
          <w:p>
            <w:pPr>
              <w:spacing w:after="0"/>
            </w:pPr>
            <w:r>
              <w:rPr>
                <w:rFonts w:ascii="Calibri" w:hAnsi="Calibri"/>
                <w:b/>
                <w:color w:val="0B2545"/>
                <w:sz w:val="19"/>
              </w:rPr>
              <w:t>GAAP diluted EPS</w:t>
            </w:r>
          </w:p>
        </w:tc>
      </w:tr>
      <w:tr>
        <w:tc>
          <w:tcPr>
            <w:tcW w:type="dxa" w:w="2200"/>
            <w:vAlign w:val="center"/>
            <w:tcMar>
              <w:top w:w="80" w:type="dxa"/>
              <w:start w:w="120" w:type="dxa"/>
              <w:bottom w:w="80" w:type="dxa"/>
              <w:end w:w="120" w:type="dxa"/>
            </w:tcMar>
          </w:tcPr>
          <w:p>
            <w:pPr>
              <w:spacing w:after="0"/>
            </w:pPr>
            <w:r>
              <w:rPr>
                <w:rFonts w:ascii="Calibri" w:hAnsi="Calibri"/>
                <w:b w:val="0"/>
                <w:color w:val="000000"/>
                <w:sz w:val="19"/>
              </w:rPr>
              <w:t>FY2021</w:t>
            </w:r>
          </w:p>
        </w:tc>
        <w:tc>
          <w:tcPr>
            <w:tcW w:type="dxa" w:w="3500"/>
            <w:vAlign w:val="center"/>
            <w:tcMar>
              <w:top w:w="80" w:type="dxa"/>
              <w:start w:w="120" w:type="dxa"/>
              <w:bottom w:w="80" w:type="dxa"/>
              <w:end w:w="120" w:type="dxa"/>
            </w:tcMar>
          </w:tcPr>
          <w:p>
            <w:pPr>
              <w:spacing w:after="0"/>
            </w:pPr>
            <w:r>
              <w:rPr>
                <w:rFonts w:ascii="Calibri" w:hAnsi="Calibri"/>
                <w:b w:val="0"/>
                <w:color w:val="000000"/>
                <w:sz w:val="19"/>
              </w:rPr>
              <w:t>76,118</w:t>
            </w:r>
          </w:p>
        </w:tc>
        <w:tc>
          <w:tcPr>
            <w:tcW w:type="dxa" w:w="3660"/>
            <w:vAlign w:val="center"/>
            <w:tcMar>
              <w:top w:w="80" w:type="dxa"/>
              <w:start w:w="120" w:type="dxa"/>
              <w:bottom w:w="80" w:type="dxa"/>
              <w:end w:w="120" w:type="dxa"/>
            </w:tcMar>
          </w:tcPr>
          <w:p>
            <w:pPr>
              <w:spacing w:after="0"/>
            </w:pPr>
            <w:r>
              <w:rPr>
                <w:rFonts w:ascii="Calibri" w:hAnsi="Calibri"/>
                <w:b w:val="0"/>
                <w:color w:val="000000"/>
                <w:sz w:val="19"/>
              </w:rPr>
              <w:t>$5.50</w:t>
            </w:r>
          </w:p>
        </w:tc>
      </w:tr>
      <w:tr>
        <w:tc>
          <w:tcPr>
            <w:tcW w:type="dxa" w:w="2200"/>
            <w:shd w:fill="FAFBFC"/>
            <w:vAlign w:val="center"/>
            <w:tcMar>
              <w:top w:w="80" w:type="dxa"/>
              <w:start w:w="120" w:type="dxa"/>
              <w:bottom w:w="80" w:type="dxa"/>
              <w:end w:w="120" w:type="dxa"/>
            </w:tcMar>
          </w:tcPr>
          <w:p>
            <w:pPr>
              <w:spacing w:after="0"/>
            </w:pPr>
            <w:r>
              <w:rPr>
                <w:rFonts w:ascii="Calibri" w:hAnsi="Calibri"/>
                <w:b w:val="0"/>
                <w:color w:val="000000"/>
                <w:sz w:val="19"/>
              </w:rPr>
              <w:t>FY2022</w:t>
            </w:r>
          </w:p>
        </w:tc>
        <w:tc>
          <w:tcPr>
            <w:tcW w:type="dxa" w:w="3500"/>
            <w:shd w:fill="FAFBFC"/>
            <w:vAlign w:val="center"/>
            <w:tcMar>
              <w:top w:w="80" w:type="dxa"/>
              <w:start w:w="120" w:type="dxa"/>
              <w:bottom w:w="80" w:type="dxa"/>
              <w:end w:w="120" w:type="dxa"/>
            </w:tcMar>
          </w:tcPr>
          <w:p>
            <w:pPr>
              <w:spacing w:after="0"/>
            </w:pPr>
            <w:r>
              <w:rPr>
                <w:rFonts w:ascii="Calibri" w:hAnsi="Calibri"/>
                <w:b w:val="0"/>
                <w:color w:val="000000"/>
                <w:sz w:val="19"/>
              </w:rPr>
              <w:t>80,187</w:t>
            </w:r>
          </w:p>
        </w:tc>
        <w:tc>
          <w:tcPr>
            <w:tcW w:type="dxa" w:w="3660"/>
            <w:shd w:fill="FAFBFC"/>
            <w:vAlign w:val="center"/>
            <w:tcMar>
              <w:top w:w="80" w:type="dxa"/>
              <w:start w:w="120" w:type="dxa"/>
              <w:bottom w:w="80" w:type="dxa"/>
              <w:end w:w="120" w:type="dxa"/>
            </w:tcMar>
          </w:tcPr>
          <w:p>
            <w:pPr>
              <w:spacing w:after="0"/>
            </w:pPr>
            <w:r>
              <w:rPr>
                <w:rFonts w:ascii="Calibri" w:hAnsi="Calibri"/>
                <w:b w:val="0"/>
                <w:color w:val="000000"/>
                <w:sz w:val="19"/>
              </w:rPr>
              <w:t>$5.81</w:t>
            </w:r>
          </w:p>
        </w:tc>
      </w:tr>
      <w:tr>
        <w:tc>
          <w:tcPr>
            <w:tcW w:type="dxa" w:w="2200"/>
            <w:vAlign w:val="center"/>
            <w:tcMar>
              <w:top w:w="80" w:type="dxa"/>
              <w:start w:w="120" w:type="dxa"/>
              <w:bottom w:w="80" w:type="dxa"/>
              <w:end w:w="120" w:type="dxa"/>
            </w:tcMar>
          </w:tcPr>
          <w:p>
            <w:pPr>
              <w:spacing w:after="0"/>
            </w:pPr>
            <w:r>
              <w:rPr>
                <w:rFonts w:ascii="Calibri" w:hAnsi="Calibri"/>
                <w:b w:val="0"/>
                <w:color w:val="000000"/>
                <w:sz w:val="19"/>
              </w:rPr>
              <w:t>FY2023</w:t>
            </w:r>
          </w:p>
        </w:tc>
        <w:tc>
          <w:tcPr>
            <w:tcW w:type="dxa" w:w="3500"/>
            <w:vAlign w:val="center"/>
            <w:tcMar>
              <w:top w:w="80" w:type="dxa"/>
              <w:start w:w="120" w:type="dxa"/>
              <w:bottom w:w="80" w:type="dxa"/>
              <w:end w:w="120" w:type="dxa"/>
            </w:tcMar>
          </w:tcPr>
          <w:p>
            <w:pPr>
              <w:spacing w:after="0"/>
            </w:pPr>
            <w:r>
              <w:rPr>
                <w:rFonts w:ascii="Calibri" w:hAnsi="Calibri"/>
                <w:b w:val="0"/>
                <w:color w:val="000000"/>
                <w:sz w:val="19"/>
              </w:rPr>
              <w:t>82,006</w:t>
            </w:r>
          </w:p>
        </w:tc>
        <w:tc>
          <w:tcPr>
            <w:tcW w:type="dxa" w:w="3660"/>
            <w:vAlign w:val="center"/>
            <w:tcMar>
              <w:top w:w="80" w:type="dxa"/>
              <w:start w:w="120" w:type="dxa"/>
              <w:bottom w:w="80" w:type="dxa"/>
              <w:end w:w="120" w:type="dxa"/>
            </w:tcMar>
          </w:tcPr>
          <w:p>
            <w:pPr>
              <w:spacing w:after="0"/>
            </w:pPr>
            <w:r>
              <w:rPr>
                <w:rFonts w:ascii="Calibri" w:hAnsi="Calibri"/>
                <w:b w:val="0"/>
                <w:color w:val="000000"/>
                <w:sz w:val="19"/>
              </w:rPr>
              <w:t>$5.90</w:t>
            </w:r>
          </w:p>
        </w:tc>
      </w:tr>
      <w:tr>
        <w:tc>
          <w:tcPr>
            <w:tcW w:type="dxa" w:w="2200"/>
            <w:shd w:fill="FAFBFC"/>
            <w:vAlign w:val="center"/>
            <w:tcMar>
              <w:top w:w="80" w:type="dxa"/>
              <w:start w:w="120" w:type="dxa"/>
              <w:bottom w:w="80" w:type="dxa"/>
              <w:end w:w="120" w:type="dxa"/>
            </w:tcMar>
          </w:tcPr>
          <w:p>
            <w:pPr>
              <w:spacing w:after="0"/>
            </w:pPr>
            <w:r>
              <w:rPr>
                <w:rFonts w:ascii="Calibri" w:hAnsi="Calibri"/>
                <w:b w:val="0"/>
                <w:color w:val="000000"/>
                <w:sz w:val="19"/>
              </w:rPr>
              <w:t>FY2024</w:t>
            </w:r>
          </w:p>
        </w:tc>
        <w:tc>
          <w:tcPr>
            <w:tcW w:type="dxa" w:w="3500"/>
            <w:shd w:fill="FAFBFC"/>
            <w:vAlign w:val="center"/>
            <w:tcMar>
              <w:top w:w="80" w:type="dxa"/>
              <w:start w:w="120" w:type="dxa"/>
              <w:bottom w:w="80" w:type="dxa"/>
              <w:end w:w="120" w:type="dxa"/>
            </w:tcMar>
          </w:tcPr>
          <w:p>
            <w:pPr>
              <w:spacing w:after="0"/>
            </w:pPr>
            <w:r>
              <w:rPr>
                <w:rFonts w:ascii="Calibri" w:hAnsi="Calibri"/>
                <w:b w:val="0"/>
                <w:color w:val="000000"/>
                <w:sz w:val="19"/>
              </w:rPr>
              <w:t>84,039</w:t>
            </w:r>
          </w:p>
        </w:tc>
        <w:tc>
          <w:tcPr>
            <w:tcW w:type="dxa" w:w="3660"/>
            <w:shd w:fill="FAFBFC"/>
            <w:vAlign w:val="center"/>
            <w:tcMar>
              <w:top w:w="80" w:type="dxa"/>
              <w:start w:w="120" w:type="dxa"/>
              <w:bottom w:w="80" w:type="dxa"/>
              <w:end w:w="120" w:type="dxa"/>
            </w:tcMar>
          </w:tcPr>
          <w:p>
            <w:pPr>
              <w:spacing w:after="0"/>
            </w:pPr>
            <w:r>
              <w:rPr>
                <w:rFonts w:ascii="Calibri" w:hAnsi="Calibri"/>
                <w:b w:val="0"/>
                <w:color w:val="000000"/>
                <w:sz w:val="19"/>
              </w:rPr>
              <w:t>$6.02</w:t>
            </w:r>
          </w:p>
        </w:tc>
      </w:tr>
      <w:tr>
        <w:tc>
          <w:tcPr>
            <w:tcW w:type="dxa" w:w="2200"/>
            <w:vAlign w:val="center"/>
            <w:tcMar>
              <w:top w:w="80" w:type="dxa"/>
              <w:start w:w="120" w:type="dxa"/>
              <w:bottom w:w="80" w:type="dxa"/>
              <w:end w:w="120" w:type="dxa"/>
            </w:tcMar>
          </w:tcPr>
          <w:p>
            <w:pPr>
              <w:spacing w:after="0"/>
            </w:pPr>
            <w:r>
              <w:rPr>
                <w:rFonts w:ascii="Calibri" w:hAnsi="Calibri"/>
                <w:b w:val="0"/>
                <w:color w:val="000000"/>
                <w:sz w:val="19"/>
              </w:rPr>
              <w:t>FY2025</w:t>
            </w:r>
          </w:p>
        </w:tc>
        <w:tc>
          <w:tcPr>
            <w:tcW w:type="dxa" w:w="3500"/>
            <w:vAlign w:val="center"/>
            <w:tcMar>
              <w:top w:w="80" w:type="dxa"/>
              <w:start w:w="120" w:type="dxa"/>
              <w:bottom w:w="80" w:type="dxa"/>
              <w:end w:w="120" w:type="dxa"/>
            </w:tcMar>
          </w:tcPr>
          <w:p>
            <w:pPr>
              <w:spacing w:after="0"/>
            </w:pPr>
            <w:r>
              <w:rPr>
                <w:rFonts w:ascii="Calibri" w:hAnsi="Calibri"/>
                <w:b w:val="0"/>
                <w:color w:val="000000"/>
                <w:sz w:val="19"/>
              </w:rPr>
              <w:t>84,284</w:t>
            </w:r>
          </w:p>
        </w:tc>
        <w:tc>
          <w:tcPr>
            <w:tcW w:type="dxa" w:w="3660"/>
            <w:vAlign w:val="center"/>
            <w:tcMar>
              <w:top w:w="80" w:type="dxa"/>
              <w:start w:w="120" w:type="dxa"/>
              <w:bottom w:w="80" w:type="dxa"/>
              <w:end w:w="120" w:type="dxa"/>
            </w:tcMar>
          </w:tcPr>
          <w:p>
            <w:pPr>
              <w:spacing w:after="0"/>
            </w:pPr>
            <w:r>
              <w:rPr>
                <w:rFonts w:ascii="Calibri" w:hAnsi="Calibri"/>
                <w:b w:val="0"/>
                <w:color w:val="000000"/>
                <w:sz w:val="19"/>
              </w:rPr>
              <w:t>$6.51</w:t>
            </w:r>
          </w:p>
        </w:tc>
      </w:tr>
    </w:tbl>
    <w:p>
      <w:pPr>
        <w:spacing w:after="0"/>
      </w:pPr>
    </w:p>
    <w:p>
      <w:pPr>
        <w:pStyle w:val="CodeBlock"/>
        <w:keepLines/>
      </w:pPr>
      <w:r>
        <w:t>Sales CAGR = (84,284 / 76,118) ** (1 / 4) - 1 = 2.58%</w:t>
      </w:r>
    </w:p>
    <w:p>
      <w:pPr>
        <w:pStyle w:val="CodeBlock"/>
        <w:keepLines/>
      </w:pPr>
      <w:r>
        <w:t>EPS CAGR   = (6.51 / 5.50) ** (1 / 4) - 1 = 4.30%</w:t>
      </w:r>
    </w:p>
    <w:p>
      <w:pPr>
        <w:pStyle w:val="ListBullet"/>
      </w:pPr>
      <w:r>
        <w:t>Use four compounding intervals, not five observations, in the exponent.</w:t>
      </w:r>
    </w:p>
    <w:p>
      <w:pPr>
        <w:pStyle w:val="ListBullet"/>
      </w:pPr>
      <w:r>
        <w:t>State that EPS grew faster than net sales over the period.</w:t>
      </w:r>
    </w:p>
    <w:p>
      <w:pPr>
        <w:pStyle w:val="ListBullet"/>
      </w:pPr>
      <w:r>
        <w:t>Evaluate possible drivers: operating margins, impairment charges, taxes, non-operating items, diluted shares, and mix.</w:t>
      </w:r>
    </w:p>
    <w:p>
      <w:pPr>
        <w:pStyle w:val="ListBullet"/>
      </w:pPr>
      <w:r>
        <w:t>Do not mix GAAP diluted EPS with core or adjusted EPS.</w:t>
      </w:r>
    </w:p>
    <w:p>
      <w:pPr>
        <w:pStyle w:val="ListBullet"/>
      </w:pPr>
      <w:r>
        <w:t>Explain how a dual-axis chart could be numerically correct yet visually misleading.</w:t>
      </w:r>
    </w:p>
    <w:p>
      <w:pPr>
        <w:pStyle w:val="Heading1"/>
      </w:pPr>
      <w:r>
        <w:t>9. Visualization 4 - DuPont ROE Decomposition</w:t>
      </w:r>
    </w:p>
    <w:p>
      <w:r>
        <w:t>Use the simplified consolidated DuPont identity with average FY2024/FY2025 assets and total shareholders' equity. Keep numerator and denominator definitions internally consistent.</w:t>
      </w:r>
    </w:p>
    <w:p>
      <w:pPr>
        <w:pStyle w:val="CodeBlock"/>
        <w:keepLines/>
      </w:pPr>
      <w:r>
        <w:t>ROE = Profit Margin x Total Asset Turnover x Equity Multiplier</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2000"/>
        <w:gridCol w:w="5000"/>
        <w:gridCol w:w="2360"/>
      </w:tblGrid>
      <w:tr>
        <w:trPr>
          <w:tblHeader w:val="true"/>
        </w:trPr>
        <w:tc>
          <w:tcPr>
            <w:tcW w:type="dxa" w:w="2000"/>
            <w:vAlign w:val="center"/>
            <w:tcMar>
              <w:top w:w="80" w:type="dxa"/>
              <w:start w:w="120" w:type="dxa"/>
              <w:bottom w:w="80" w:type="dxa"/>
              <w:end w:w="120" w:type="dxa"/>
            </w:tcMar>
            <w:shd w:fill="E8EEF5"/>
          </w:tcPr>
          <w:p>
            <w:pPr>
              <w:spacing w:after="0"/>
            </w:pPr>
            <w:r>
              <w:rPr>
                <w:rFonts w:ascii="Calibri" w:hAnsi="Calibri"/>
                <w:b/>
                <w:color w:val="0B2545"/>
                <w:sz w:val="17"/>
              </w:rPr>
              <w:t>Factor</w:t>
            </w:r>
          </w:p>
        </w:tc>
        <w:tc>
          <w:tcPr>
            <w:tcW w:type="dxa" w:w="5000"/>
            <w:vAlign w:val="center"/>
            <w:tcMar>
              <w:top w:w="80" w:type="dxa"/>
              <w:start w:w="120" w:type="dxa"/>
              <w:bottom w:w="80" w:type="dxa"/>
              <w:end w:w="120" w:type="dxa"/>
            </w:tcMar>
            <w:shd w:fill="E8EEF5"/>
          </w:tcPr>
          <w:p>
            <w:pPr>
              <w:spacing w:after="0"/>
            </w:pPr>
            <w:r>
              <w:rPr>
                <w:rFonts w:ascii="Calibri" w:hAnsi="Calibri"/>
                <w:b/>
                <w:color w:val="0B2545"/>
                <w:sz w:val="17"/>
              </w:rPr>
              <w:t>Formula</w:t>
            </w:r>
          </w:p>
        </w:tc>
        <w:tc>
          <w:tcPr>
            <w:tcW w:type="dxa" w:w="2360"/>
            <w:vAlign w:val="center"/>
            <w:tcMar>
              <w:top w:w="80" w:type="dxa"/>
              <w:start w:w="120" w:type="dxa"/>
              <w:bottom w:w="80" w:type="dxa"/>
              <w:end w:w="120" w:type="dxa"/>
            </w:tcMar>
            <w:shd w:fill="E8EEF5"/>
          </w:tcPr>
          <w:p>
            <w:pPr>
              <w:spacing w:after="0"/>
            </w:pPr>
            <w:r>
              <w:rPr>
                <w:rFonts w:ascii="Calibri" w:hAnsi="Calibri"/>
                <w:b/>
                <w:color w:val="0B2545"/>
                <w:sz w:val="17"/>
              </w:rPr>
              <w:t>P&amp;G result</w:t>
            </w:r>
          </w:p>
        </w:tc>
      </w:tr>
      <w:tr>
        <w:tc>
          <w:tcPr>
            <w:tcW w:type="dxa" w:w="2000"/>
            <w:vAlign w:val="center"/>
            <w:tcMar>
              <w:top w:w="80" w:type="dxa"/>
              <w:start w:w="120" w:type="dxa"/>
              <w:bottom w:w="80" w:type="dxa"/>
              <w:end w:w="120" w:type="dxa"/>
            </w:tcMar>
          </w:tcPr>
          <w:p>
            <w:pPr>
              <w:spacing w:after="0"/>
            </w:pPr>
            <w:r>
              <w:rPr>
                <w:rFonts w:ascii="Calibri" w:hAnsi="Calibri"/>
                <w:b w:val="0"/>
                <w:color w:val="000000"/>
                <w:sz w:val="17"/>
              </w:rPr>
              <w:t>Profit margin</w:t>
            </w:r>
          </w:p>
        </w:tc>
        <w:tc>
          <w:tcPr>
            <w:tcW w:type="dxa" w:w="5000"/>
            <w:vAlign w:val="center"/>
            <w:tcMar>
              <w:top w:w="80" w:type="dxa"/>
              <w:start w:w="120" w:type="dxa"/>
              <w:bottom w:w="80" w:type="dxa"/>
              <w:end w:w="120" w:type="dxa"/>
            </w:tcMar>
          </w:tcPr>
          <w:p>
            <w:pPr>
              <w:spacing w:after="0"/>
            </w:pPr>
            <w:r>
              <w:rPr>
                <w:rFonts w:ascii="Calibri" w:hAnsi="Calibri"/>
                <w:b w:val="0"/>
                <w:color w:val="000000"/>
                <w:sz w:val="17"/>
              </w:rPr>
              <w:t>16,065 / 84,284</w:t>
            </w:r>
          </w:p>
        </w:tc>
        <w:tc>
          <w:tcPr>
            <w:tcW w:type="dxa" w:w="2360"/>
            <w:vAlign w:val="center"/>
            <w:tcMar>
              <w:top w:w="80" w:type="dxa"/>
              <w:start w:w="120" w:type="dxa"/>
              <w:bottom w:w="80" w:type="dxa"/>
              <w:end w:w="120" w:type="dxa"/>
            </w:tcMar>
          </w:tcPr>
          <w:p>
            <w:pPr>
              <w:spacing w:after="0"/>
            </w:pPr>
            <w:r>
              <w:rPr>
                <w:rFonts w:ascii="Calibri" w:hAnsi="Calibri"/>
                <w:b w:val="0"/>
                <w:color w:val="000000"/>
                <w:sz w:val="17"/>
              </w:rPr>
              <w:t>19.06%</w:t>
            </w:r>
          </w:p>
        </w:tc>
      </w:tr>
      <w:tr>
        <w:tc>
          <w:tcPr>
            <w:tcW w:type="dxa" w:w="2000"/>
            <w:shd w:fill="FAFBFC"/>
            <w:vAlign w:val="center"/>
            <w:tcMar>
              <w:top w:w="80" w:type="dxa"/>
              <w:start w:w="120" w:type="dxa"/>
              <w:bottom w:w="80" w:type="dxa"/>
              <w:end w:w="120" w:type="dxa"/>
            </w:tcMar>
          </w:tcPr>
          <w:p>
            <w:pPr>
              <w:spacing w:after="0"/>
            </w:pPr>
            <w:r>
              <w:rPr>
                <w:rFonts w:ascii="Calibri" w:hAnsi="Calibri"/>
                <w:b w:val="0"/>
                <w:color w:val="000000"/>
                <w:sz w:val="17"/>
              </w:rPr>
              <w:t>Total asset turnover</w:t>
            </w:r>
          </w:p>
        </w:tc>
        <w:tc>
          <w:tcPr>
            <w:tcW w:type="dxa" w:w="5000"/>
            <w:shd w:fill="FAFBFC"/>
            <w:vAlign w:val="center"/>
            <w:tcMar>
              <w:top w:w="80" w:type="dxa"/>
              <w:start w:w="120" w:type="dxa"/>
              <w:bottom w:w="80" w:type="dxa"/>
              <w:end w:w="120" w:type="dxa"/>
            </w:tcMar>
          </w:tcPr>
          <w:p>
            <w:pPr>
              <w:spacing w:after="0"/>
            </w:pPr>
            <w:r>
              <w:rPr>
                <w:rFonts w:ascii="Calibri" w:hAnsi="Calibri"/>
                <w:b w:val="0"/>
                <w:color w:val="000000"/>
                <w:sz w:val="17"/>
              </w:rPr>
              <w:t>84,284 / average assets of 123,800.5</w:t>
            </w:r>
          </w:p>
        </w:tc>
        <w:tc>
          <w:tcPr>
            <w:tcW w:type="dxa" w:w="2360"/>
            <w:shd w:fill="FAFBFC"/>
            <w:vAlign w:val="center"/>
            <w:tcMar>
              <w:top w:w="80" w:type="dxa"/>
              <w:start w:w="120" w:type="dxa"/>
              <w:bottom w:w="80" w:type="dxa"/>
              <w:end w:w="120" w:type="dxa"/>
            </w:tcMar>
          </w:tcPr>
          <w:p>
            <w:pPr>
              <w:spacing w:after="0"/>
            </w:pPr>
            <w:r>
              <w:rPr>
                <w:rFonts w:ascii="Calibri" w:hAnsi="Calibri"/>
                <w:b w:val="0"/>
                <w:color w:val="000000"/>
                <w:sz w:val="17"/>
              </w:rPr>
              <w:t>0.681x</w:t>
            </w:r>
          </w:p>
        </w:tc>
      </w:tr>
      <w:tr>
        <w:tc>
          <w:tcPr>
            <w:tcW w:type="dxa" w:w="2000"/>
            <w:vAlign w:val="center"/>
            <w:tcMar>
              <w:top w:w="80" w:type="dxa"/>
              <w:start w:w="120" w:type="dxa"/>
              <w:bottom w:w="80" w:type="dxa"/>
              <w:end w:w="120" w:type="dxa"/>
            </w:tcMar>
          </w:tcPr>
          <w:p>
            <w:pPr>
              <w:spacing w:after="0"/>
            </w:pPr>
            <w:r>
              <w:rPr>
                <w:rFonts w:ascii="Calibri" w:hAnsi="Calibri"/>
                <w:b w:val="0"/>
                <w:color w:val="000000"/>
                <w:sz w:val="17"/>
              </w:rPr>
              <w:t>Equity multiplier</w:t>
            </w:r>
          </w:p>
        </w:tc>
        <w:tc>
          <w:tcPr>
            <w:tcW w:type="dxa" w:w="5000"/>
            <w:vAlign w:val="center"/>
            <w:tcMar>
              <w:top w:w="80" w:type="dxa"/>
              <w:start w:w="120" w:type="dxa"/>
              <w:bottom w:w="80" w:type="dxa"/>
              <w:end w:w="120" w:type="dxa"/>
            </w:tcMar>
          </w:tcPr>
          <w:p>
            <w:pPr>
              <w:spacing w:after="0"/>
            </w:pPr>
            <w:r>
              <w:rPr>
                <w:rFonts w:ascii="Calibri" w:hAnsi="Calibri"/>
                <w:b w:val="0"/>
                <w:color w:val="000000"/>
                <w:sz w:val="17"/>
              </w:rPr>
              <w:t>average assets of 123,800.5 / average equity of 51,421.5</w:t>
            </w:r>
          </w:p>
        </w:tc>
        <w:tc>
          <w:tcPr>
            <w:tcW w:type="dxa" w:w="2360"/>
            <w:vAlign w:val="center"/>
            <w:tcMar>
              <w:top w:w="80" w:type="dxa"/>
              <w:start w:w="120" w:type="dxa"/>
              <w:bottom w:w="80" w:type="dxa"/>
              <w:end w:w="120" w:type="dxa"/>
            </w:tcMar>
          </w:tcPr>
          <w:p>
            <w:pPr>
              <w:spacing w:after="0"/>
            </w:pPr>
            <w:r>
              <w:rPr>
                <w:rFonts w:ascii="Calibri" w:hAnsi="Calibri"/>
                <w:b w:val="0"/>
                <w:color w:val="000000"/>
                <w:sz w:val="17"/>
              </w:rPr>
              <w:t>2.408x</w:t>
            </w:r>
          </w:p>
        </w:tc>
      </w:tr>
      <w:tr>
        <w:tc>
          <w:tcPr>
            <w:tcW w:type="dxa" w:w="2000"/>
            <w:shd w:fill="FAFBFC"/>
            <w:vAlign w:val="center"/>
            <w:tcMar>
              <w:top w:w="80" w:type="dxa"/>
              <w:start w:w="120" w:type="dxa"/>
              <w:bottom w:w="80" w:type="dxa"/>
              <w:end w:w="120" w:type="dxa"/>
            </w:tcMar>
          </w:tcPr>
          <w:p>
            <w:pPr>
              <w:spacing w:after="0"/>
            </w:pPr>
            <w:r>
              <w:rPr>
                <w:rFonts w:ascii="Calibri" w:hAnsi="Calibri"/>
                <w:b w:val="0"/>
                <w:color w:val="000000"/>
                <w:sz w:val="17"/>
              </w:rPr>
              <w:t>DuPont ROE</w:t>
            </w:r>
          </w:p>
        </w:tc>
        <w:tc>
          <w:tcPr>
            <w:tcW w:type="dxa" w:w="5000"/>
            <w:shd w:fill="FAFBFC"/>
            <w:vAlign w:val="center"/>
            <w:tcMar>
              <w:top w:w="80" w:type="dxa"/>
              <w:start w:w="120" w:type="dxa"/>
              <w:bottom w:w="80" w:type="dxa"/>
              <w:end w:w="120" w:type="dxa"/>
            </w:tcMar>
          </w:tcPr>
          <w:p>
            <w:pPr>
              <w:spacing w:after="0"/>
            </w:pPr>
            <w:r>
              <w:rPr>
                <w:rFonts w:ascii="Calibri" w:hAnsi="Calibri"/>
                <w:b w:val="0"/>
                <w:color w:val="000000"/>
                <w:sz w:val="17"/>
              </w:rPr>
              <w:t>0.1906 x 0.6808 x 2.4076</w:t>
            </w:r>
          </w:p>
        </w:tc>
        <w:tc>
          <w:tcPr>
            <w:tcW w:type="dxa" w:w="2360"/>
            <w:shd w:fill="FAFBFC"/>
            <w:vAlign w:val="center"/>
            <w:tcMar>
              <w:top w:w="80" w:type="dxa"/>
              <w:start w:w="120" w:type="dxa"/>
              <w:bottom w:w="80" w:type="dxa"/>
              <w:end w:w="120" w:type="dxa"/>
            </w:tcMar>
          </w:tcPr>
          <w:p>
            <w:pPr>
              <w:spacing w:after="0"/>
            </w:pPr>
            <w:r>
              <w:rPr>
                <w:rFonts w:ascii="Calibri" w:hAnsi="Calibri"/>
                <w:b w:val="0"/>
                <w:color w:val="000000"/>
                <w:sz w:val="17"/>
              </w:rPr>
              <w:t>31.24%</w:t>
            </w:r>
          </w:p>
        </w:tc>
      </w:tr>
      <w:tr>
        <w:tc>
          <w:tcPr>
            <w:tcW w:type="dxa" w:w="2000"/>
            <w:vAlign w:val="center"/>
            <w:tcMar>
              <w:top w:w="80" w:type="dxa"/>
              <w:start w:w="120" w:type="dxa"/>
              <w:bottom w:w="80" w:type="dxa"/>
              <w:end w:w="120" w:type="dxa"/>
            </w:tcMar>
          </w:tcPr>
          <w:p>
            <w:pPr>
              <w:spacing w:after="0"/>
            </w:pPr>
            <w:r>
              <w:rPr>
                <w:rFonts w:ascii="Calibri" w:hAnsi="Calibri"/>
                <w:b w:val="0"/>
                <w:color w:val="000000"/>
                <w:sz w:val="17"/>
              </w:rPr>
              <w:t>Direct ROE check</w:t>
            </w:r>
          </w:p>
        </w:tc>
        <w:tc>
          <w:tcPr>
            <w:tcW w:type="dxa" w:w="5000"/>
            <w:vAlign w:val="center"/>
            <w:tcMar>
              <w:top w:w="80" w:type="dxa"/>
              <w:start w:w="120" w:type="dxa"/>
              <w:bottom w:w="80" w:type="dxa"/>
              <w:end w:w="120" w:type="dxa"/>
            </w:tcMar>
          </w:tcPr>
          <w:p>
            <w:pPr>
              <w:spacing w:after="0"/>
            </w:pPr>
            <w:r>
              <w:rPr>
                <w:rFonts w:ascii="Calibri" w:hAnsi="Calibri"/>
                <w:b w:val="0"/>
                <w:color w:val="000000"/>
                <w:sz w:val="17"/>
              </w:rPr>
              <w:t>16,065 / 51,421.5</w:t>
            </w:r>
          </w:p>
        </w:tc>
        <w:tc>
          <w:tcPr>
            <w:tcW w:type="dxa" w:w="2360"/>
            <w:vAlign w:val="center"/>
            <w:tcMar>
              <w:top w:w="80" w:type="dxa"/>
              <w:start w:w="120" w:type="dxa"/>
              <w:bottom w:w="80" w:type="dxa"/>
              <w:end w:w="120" w:type="dxa"/>
            </w:tcMar>
          </w:tcPr>
          <w:p>
            <w:pPr>
              <w:spacing w:after="0"/>
            </w:pPr>
            <w:r>
              <w:rPr>
                <w:rFonts w:ascii="Calibri" w:hAnsi="Calibri"/>
                <w:b w:val="0"/>
                <w:color w:val="000000"/>
                <w:sz w:val="17"/>
              </w:rPr>
              <w:t>31.24%</w:t>
            </w:r>
          </w:p>
        </w:tc>
      </w:tr>
    </w:tbl>
    <w:p>
      <w:pPr>
        <w:spacing w:after="0"/>
      </w:pPr>
    </w:p>
    <w:p>
      <w:pPr>
        <w:pStyle w:val="ListBullet"/>
      </w:pPr>
      <w:r>
        <w:t>Explain why average balance-sheet values match a full-year income measure better than ending values.</w:t>
      </w:r>
    </w:p>
    <w:p>
      <w:pPr>
        <w:pStyle w:val="ListBullet"/>
      </w:pPr>
      <w:r>
        <w:t>Describe P&amp;G's strong profit margin, relatively modest asset turnover, and substantial equity multiplier.</w:t>
      </w:r>
    </w:p>
    <w:p>
      <w:pPr>
        <w:pStyle w:val="ListBullet"/>
      </w:pPr>
      <w:r>
        <w:t>Explain why leverage can raise ROE when performance is favorable and magnify risk when it is not.</w:t>
      </w:r>
    </w:p>
    <w:p>
      <w:pPr>
        <w:pStyle w:val="ListBullet"/>
      </w:pPr>
      <w:r>
        <w:t>Confirm that the three-factor product equals direct ROE within tolerance.</w:t>
      </w:r>
    </w:p>
    <w:p>
      <w:r>
        <w:br w:type="page"/>
      </w:r>
    </w:p>
    <w:p>
      <w:pPr>
        <w:pStyle w:val="Heading1"/>
      </w:pPr>
      <w:r>
        <w:t>10. AI Requirements</w:t>
      </w:r>
    </w:p>
    <w:p>
      <w:pPr>
        <w:pStyle w:val="ListBullet"/>
      </w:pPr>
      <w:r>
        <w:t>AI use is required. Submit the exact prompt or prompt sequence used for the final program.</w:t>
      </w:r>
    </w:p>
    <w:p>
      <w:pPr>
        <w:pStyle w:val="ListBullet"/>
      </w:pPr>
      <w:r>
        <w:t>AI may draft code and explanations; it may not replace the supplied audited data with searched, estimated, or invented values.</w:t>
      </w:r>
    </w:p>
    <w:p>
      <w:pPr>
        <w:pStyle w:val="ListBullet"/>
      </w:pPr>
      <w:r>
        <w:t>Your final program must be executable, commented, reproducible, and organized into meaningful functions.</w:t>
      </w:r>
    </w:p>
    <w:p>
      <w:pPr>
        <w:pStyle w:val="ListBullet"/>
      </w:pPr>
      <w:r>
        <w:t>Use Metric_ID values instead of fixed row numbers.</w:t>
      </w:r>
    </w:p>
    <w:p>
      <w:pPr>
        <w:pStyle w:val="ListBullet"/>
      </w:pPr>
      <w:r>
        <w:t>The program must validate required columns, metrics, years, and accounting identities.</w:t>
      </w:r>
    </w:p>
    <w:p>
      <w:pPr>
        <w:pStyle w:val="ListBullet"/>
      </w:pPr>
      <w:r>
        <w:t>The program must stop with a clear error if a required identity fails.</w:t>
      </w:r>
    </w:p>
    <w:p>
      <w:pPr>
        <w:pStyle w:val="ListBullet"/>
      </w:pPr>
      <w:r>
        <w:t>Every team member must be able to explain the code, formulas, labels, and limitations.</w:t>
      </w:r>
    </w:p>
    <w:p>
      <w:pPr>
        <w:pStyle w:val="ListBullet"/>
      </w:pPr>
      <w:r>
        <w:t>Document one meaningful human revision after the first AI draft.</w:t>
      </w:r>
    </w:p>
    <w:tbl>
      <w:tblPr>
        <w:tblW w:type="dxa" w:w="9360"/>
        <w:jc w:val="left"/>
        <w:tblLayout w:type="fixed"/>
        <w:tblLook w:firstColumn="1" w:firstRow="1" w:lastColumn="0" w:lastRow="0" w:noHBand="0" w:noVBand="1" w:val="04A0"/>
        <w:tblInd w:w="120" w:type="dxa"/>
        <w:tblBorders>
          <w:top w:val="single" w:sz="1" w:space="0" w:color="F3F8FC"/>
          <w:left w:val="single" w:sz="1" w:space="0" w:color="F3F8FC"/>
          <w:bottom w:val="single" w:sz="1" w:space="0" w:color="F3F8FC"/>
          <w:right w:val="single" w:sz="1" w:space="0" w:color="F3F8FC"/>
          <w:insideH w:val="single" w:sz="1" w:space="0" w:color="F3F8FC"/>
          <w:insideV w:val="single" w:sz="1" w:space="0" w:color="F3F8FC"/>
        </w:tblBorders>
      </w:tblPr>
      <w:tblGrid>
        <w:gridCol w:w="9360"/>
      </w:tblGrid>
      <w:tr>
        <w:tc>
          <w:tcPr>
            <w:tcW w:type="dxa" w:w="9360"/>
            <w:vAlign w:val="center"/>
            <w:tcMar>
              <w:top w:w="80" w:type="dxa"/>
              <w:start w:w="120" w:type="dxa"/>
              <w:bottom w:w="80" w:type="dxa"/>
              <w:end w:w="120" w:type="dxa"/>
            </w:tcMar>
            <w:shd w:fill="F3F8FC"/>
          </w:tcPr>
          <w:p>
            <w:pPr>
              <w:spacing w:after="0"/>
            </w:pPr>
            <w:r>
              <w:rPr>
                <w:rFonts w:ascii="Calibri" w:hAnsi="Calibri"/>
                <w:b/>
                <w:color w:val="2E74B5"/>
                <w:sz w:val="21"/>
              </w:rPr>
              <w:t xml:space="preserve">What REM means here: </w:t>
            </w:r>
            <w:r>
              <w:rPr>
                <w:rFonts w:ascii="Calibri" w:hAnsi="Calibri"/>
                <w:color w:val="000000"/>
                <w:sz w:val="21"/>
              </w:rPr>
              <w:t>REM is a visible, concise record of reasoning summary, equations, method, and limitations. It is not a request for private chain-of-thought.</w:t>
            </w:r>
          </w:p>
        </w:tc>
      </w:tr>
    </w:tbl>
    <w:p>
      <w:pPr>
        <w:spacing w:after="0"/>
      </w:pPr>
    </w:p>
    <w:p>
      <w:pPr>
        <w:pStyle w:val="Heading1"/>
      </w:pPr>
      <w:r>
        <w:t>11. Required Model AI Prompt</w:t>
      </w:r>
    </w:p>
    <w:p>
      <w:pPr>
        <w:pStyle w:val="CodeBlock"/>
        <w:keepLines/>
      </w:pPr>
      <w:r>
        <w:t>You are assisting a FINC 310 student team. Use the attached</w:t>
      </w:r>
    </w:p>
    <w:p>
      <w:pPr>
        <w:pStyle w:val="CodeBlock"/>
        <w:keepLines/>
      </w:pPr>
      <w:r>
        <w:t>PG_FinancialStory_Student.xlsx workbook. Do not search for or invent replacement</w:t>
      </w:r>
    </w:p>
    <w:p>
      <w:pPr>
        <w:pStyle w:val="CodeBlock"/>
        <w:keepLines/>
      </w:pPr>
      <w:r>
        <w:t>financial data.</w:t>
      </w:r>
    </w:p>
    <w:p>
      <w:pPr>
        <w:pStyle w:val="CodeBlock"/>
        <w:keepLines/>
      </w:pPr>
      <w:r>
        <w:t xml:space="preserve"> </w:t>
      </w:r>
    </w:p>
    <w:p>
      <w:pPr>
        <w:pStyle w:val="CodeBlock"/>
        <w:keepLines/>
      </w:pPr>
      <w:r>
        <w:t>Write one executable Python program named pg_financial_story.py that:</w:t>
      </w:r>
    </w:p>
    <w:p>
      <w:pPr>
        <w:pStyle w:val="CodeBlock"/>
        <w:keepLines/>
      </w:pPr>
      <w:r>
        <w:t>1. reads the 01_Input worksheet using the Metric_ID column;</w:t>
      </w:r>
    </w:p>
    <w:p>
      <w:pPr>
        <w:pStyle w:val="CodeBlock"/>
        <w:keepLines/>
      </w:pPr>
      <w:r>
        <w:t>2. validates that required metrics and fiscal years exist;</w:t>
      </w:r>
    </w:p>
    <w:p>
      <w:pPr>
        <w:pStyle w:val="CodeBlock"/>
        <w:keepLines/>
      </w:pPr>
      <w:r>
        <w:t>3. creates an FY2025 income statement Sankey;</w:t>
      </w:r>
    </w:p>
    <w:p>
      <w:pPr>
        <w:pStyle w:val="CodeBlock"/>
        <w:keepLines/>
      </w:pPr>
      <w:r>
        <w:t>4. creates a free cash flow waterfall that separately labels textbook FCF,</w:t>
      </w:r>
    </w:p>
    <w:p>
      <w:pPr>
        <w:pStyle w:val="CodeBlock"/>
        <w:keepLines/>
      </w:pPr>
      <w:r>
        <w:t xml:space="preserve">   cash FCF, and P&amp;G adjusted FCF;</w:t>
      </w:r>
    </w:p>
    <w:p>
      <w:pPr>
        <w:pStyle w:val="CodeBlock"/>
        <w:keepLines/>
      </w:pPr>
      <w:r>
        <w:t>5. creates an FY2021-FY2025 net sales and GAAP diluted EPS trend;</w:t>
      </w:r>
    </w:p>
    <w:p>
      <w:pPr>
        <w:pStyle w:val="CodeBlock"/>
        <w:keepLines/>
      </w:pPr>
      <w:r>
        <w:t>6. creates a DuPont ROE decomposition using average FY2024/FY2025 assets and</w:t>
      </w:r>
    </w:p>
    <w:p>
      <w:pPr>
        <w:pStyle w:val="CodeBlock"/>
        <w:keepLines/>
      </w:pPr>
      <w:r>
        <w:t xml:space="preserve">   total shareholders' equity;</w:t>
      </w:r>
    </w:p>
    <w:p>
      <w:pPr>
        <w:pStyle w:val="CodeBlock"/>
        <w:keepLines/>
      </w:pPr>
      <w:r>
        <w:t>7. writes a CSV of accounting and finance sanity checks;</w:t>
      </w:r>
    </w:p>
    <w:p>
      <w:pPr>
        <w:pStyle w:val="CodeBlock"/>
        <w:keepLines/>
      </w:pPr>
      <w:r>
        <w:t>8. stops with a clear error message if a required identity fails;</w:t>
      </w:r>
    </w:p>
    <w:p>
      <w:pPr>
        <w:pStyle w:val="CodeBlock"/>
        <w:keepLines/>
      </w:pPr>
      <w:r>
        <w:t>9. saves four individual PNG files and one combined dashboard PNG; and</w:t>
      </w:r>
    </w:p>
    <w:p>
      <w:pPr>
        <w:pStyle w:val="CodeBlock"/>
        <w:keepLines/>
      </w:pPr>
      <w:r>
        <w:t>10. uses relative paths or command-line arguments.</w:t>
      </w:r>
    </w:p>
    <w:p>
      <w:pPr>
        <w:pStyle w:val="CodeBlock"/>
        <w:keepLines/>
      </w:pPr>
      <w:r>
        <w:t xml:space="preserve"> </w:t>
      </w:r>
    </w:p>
    <w:p>
      <w:pPr>
        <w:pStyle w:val="CodeBlock"/>
        <w:keepLines/>
      </w:pPr>
      <w:r>
        <w:t>Begin the file with concise REM comments containing Reasoning Summary,</w:t>
      </w:r>
    </w:p>
    <w:p>
      <w:pPr>
        <w:pStyle w:val="CodeBlock"/>
        <w:keepLines/>
      </w:pPr>
      <w:r>
        <w:t>Equations, Method, and Limitations. Comment every major function. Use USD</w:t>
      </w:r>
    </w:p>
    <w:p>
      <w:pPr>
        <w:pStyle w:val="CodeBlock"/>
        <w:keepLines/>
      </w:pPr>
      <w:r>
        <w:t>millions except EPS. Explain all sign conventions. Do not provide hidden</w:t>
      </w:r>
    </w:p>
    <w:p>
      <w:pPr>
        <w:pStyle w:val="CodeBlock"/>
        <w:keepLines/>
      </w:pPr>
      <w:r>
        <w:t>chain-of-thought; provide concise auditable rationale. After the code, list the</w:t>
      </w:r>
    </w:p>
    <w:p>
      <w:pPr>
        <w:pStyle w:val="CodeBlock"/>
        <w:keepLines/>
      </w:pPr>
      <w:r>
        <w:t>expected output files and the commands needed to install packages and run it.</w:t>
      </w:r>
    </w:p>
    <w:p>
      <w:pPr>
        <w:pStyle w:val="Heading2"/>
      </w:pPr>
      <w:r>
        <w:t>Required follow-up prompts</w:t>
      </w:r>
    </w:p>
    <w:p>
      <w:pPr>
        <w:pStyle w:val="ListNumber"/>
      </w:pPr>
      <w:r>
        <w:t>Audit your own code for hard-coded financial values that should be read from the workbook. Return a table of every hard-coded number and whether it is justified.</w:t>
      </w:r>
    </w:p>
    <w:p>
      <w:pPr>
        <w:pStyle w:val="ListNumber"/>
      </w:pPr>
      <w:r>
        <w:t>List every accounting identity used in the program and show where the program tests it.</w:t>
      </w:r>
    </w:p>
    <w:p>
      <w:pPr>
        <w:pStyle w:val="ListNumber"/>
      </w:pPr>
      <w:r>
        <w:t>Explain how the code handles negative interest expense and negative capital expenditures.</w:t>
      </w:r>
    </w:p>
    <w:p>
      <w:pPr>
        <w:pStyle w:val="ListNumber"/>
      </w:pPr>
      <w:r>
        <w:t>Identify three ways the charts could be numerically correct but visually misleading.</w:t>
      </w:r>
    </w:p>
    <w:p>
      <w:pPr>
        <w:pStyle w:val="ListNumber"/>
      </w:pPr>
      <w:r>
        <w:t>Rewrite any function that depends on fixed Excel row numbers so that it uses Metric_ID values.</w:t>
      </w:r>
    </w:p>
    <w:p>
      <w:pPr>
        <w:pStyle w:val="ListNumber"/>
      </w:pPr>
      <w:r>
        <w:t>Generate five oral questions the professor could ask, then recommend one meaningful code revision.</w:t>
      </w:r>
    </w:p>
    <w:p>
      <w:pPr>
        <w:pStyle w:val="Heading1"/>
      </w:pPr>
      <w:r>
        <w:t>12. Required REM Statements</w:t>
      </w:r>
    </w:p>
    <w:p>
      <w:pPr>
        <w:pStyle w:val="CodeBlock"/>
        <w:keepLines/>
      </w:pPr>
      <w:r>
        <w:t># REM - REASONING SUMMARY</w:t>
      </w:r>
    </w:p>
    <w:p>
      <w:pPr>
        <w:pStyle w:val="CodeBlock"/>
        <w:keepLines/>
      </w:pPr>
      <w:r>
        <w:t># Explain the program's purpose and how the four visuals fit together.</w:t>
      </w:r>
    </w:p>
    <w:p>
      <w:pPr>
        <w:pStyle w:val="CodeBlock"/>
        <w:keepLines/>
      </w:pPr>
      <w:r>
        <w:t xml:space="preserve"> </w:t>
      </w:r>
    </w:p>
    <w:p>
      <w:pPr>
        <w:pStyle w:val="CodeBlock"/>
        <w:keepLines/>
      </w:pPr>
      <w:r>
        <w:t># REM - EQUATIONS</w:t>
      </w:r>
    </w:p>
    <w:p>
      <w:pPr>
        <w:pStyle w:val="CodeBlock"/>
        <w:keepLines/>
      </w:pPr>
      <w:r>
        <w:t># List Gross Profit, NOPAT, Operating NOWC, textbook FCF, cash FCF,</w:t>
      </w:r>
    </w:p>
    <w:p>
      <w:pPr>
        <w:pStyle w:val="CodeBlock"/>
        <w:keepLines/>
      </w:pPr>
      <w:r>
        <w:t># CAGR, Profit Margin, Asset Turnover, Equity Multiplier, and ROE.</w:t>
      </w:r>
    </w:p>
    <w:p>
      <w:pPr>
        <w:pStyle w:val="CodeBlock"/>
        <w:keepLines/>
      </w:pPr>
      <w:r>
        <w:t xml:space="preserve"> </w:t>
      </w:r>
    </w:p>
    <w:p>
      <w:pPr>
        <w:pStyle w:val="CodeBlock"/>
        <w:keepLines/>
      </w:pPr>
      <w:r>
        <w:t># REM - METHOD</w:t>
      </w:r>
    </w:p>
    <w:p>
      <w:pPr>
        <w:pStyle w:val="CodeBlock"/>
        <w:keepLines/>
      </w:pPr>
      <w:r>
        <w:t># Explain workbook input, validation, calculations, chart creation,</w:t>
      </w:r>
    </w:p>
    <w:p>
      <w:pPr>
        <w:pStyle w:val="CodeBlock"/>
        <w:keepLines/>
      </w:pPr>
      <w:r>
        <w:t># output files, and failure handling.</w:t>
      </w:r>
    </w:p>
    <w:p>
      <w:pPr>
        <w:pStyle w:val="CodeBlock"/>
        <w:keepLines/>
      </w:pPr>
      <w:r>
        <w:t xml:space="preserve"> </w:t>
      </w:r>
    </w:p>
    <w:p>
      <w:pPr>
        <w:pStyle w:val="CodeBlock"/>
        <w:keepLines/>
      </w:pPr>
      <w:r>
        <w:t># REM - LIMITATIONS</w:t>
      </w:r>
    </w:p>
    <w:p>
      <w:pPr>
        <w:pStyle w:val="CodeBlock"/>
        <w:keepLines/>
      </w:pPr>
      <w:r>
        <w:t># Explain simplified NOWC, non-GAAP adjusted FCF, fiscal-year scope,</w:t>
      </w:r>
    </w:p>
    <w:p>
      <w:pPr>
        <w:pStyle w:val="CodeBlock"/>
        <w:keepLines/>
      </w:pPr>
      <w:r>
        <w:t># source dependence, rounding, and risks of misleading chart design.</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2400"/>
        <w:gridCol w:w="6960"/>
      </w:tblGrid>
      <w:tr>
        <w:trPr>
          <w:tblHeader w:val="true"/>
        </w:trPr>
        <w:tc>
          <w:tcPr>
            <w:tcW w:type="dxa" w:w="2400"/>
            <w:vAlign w:val="center"/>
            <w:tcMar>
              <w:top w:w="80" w:type="dxa"/>
              <w:start w:w="120" w:type="dxa"/>
              <w:bottom w:w="80" w:type="dxa"/>
              <w:end w:w="120" w:type="dxa"/>
            </w:tcMar>
            <w:shd w:fill="E8EEF5"/>
          </w:tcPr>
          <w:p>
            <w:pPr>
              <w:spacing w:after="0"/>
            </w:pPr>
            <w:r>
              <w:rPr>
                <w:rFonts w:ascii="Calibri" w:hAnsi="Calibri"/>
                <w:b/>
                <w:color w:val="0B2545"/>
                <w:sz w:val="19"/>
              </w:rPr>
              <w:t>REM section</w:t>
            </w:r>
          </w:p>
        </w:tc>
        <w:tc>
          <w:tcPr>
            <w:tcW w:type="dxa" w:w="6960"/>
            <w:vAlign w:val="center"/>
            <w:tcMar>
              <w:top w:w="80" w:type="dxa"/>
              <w:start w:w="120" w:type="dxa"/>
              <w:bottom w:w="80" w:type="dxa"/>
              <w:end w:w="120" w:type="dxa"/>
            </w:tcMar>
            <w:shd w:fill="E8EEF5"/>
          </w:tcPr>
          <w:p>
            <w:pPr>
              <w:spacing w:after="0"/>
            </w:pPr>
            <w:r>
              <w:rPr>
                <w:rFonts w:ascii="Calibri" w:hAnsi="Calibri"/>
                <w:b/>
                <w:color w:val="0B2545"/>
                <w:sz w:val="19"/>
              </w:rPr>
              <w:t>Minimum acceptable content</w:t>
            </w:r>
          </w:p>
        </w:tc>
      </w:tr>
      <w:tr>
        <w:tc>
          <w:tcPr>
            <w:tcW w:type="dxa" w:w="2400"/>
            <w:vAlign w:val="center"/>
            <w:tcMar>
              <w:top w:w="80" w:type="dxa"/>
              <w:start w:w="120" w:type="dxa"/>
              <w:bottom w:w="80" w:type="dxa"/>
              <w:end w:w="120" w:type="dxa"/>
            </w:tcMar>
          </w:tcPr>
          <w:p>
            <w:pPr>
              <w:spacing w:after="0"/>
            </w:pPr>
            <w:r>
              <w:rPr>
                <w:rFonts w:ascii="Calibri" w:hAnsi="Calibri"/>
                <w:b/>
                <w:color w:val="000000"/>
                <w:sz w:val="19"/>
              </w:rPr>
              <w:t>Reasoning Summary</w:t>
            </w:r>
          </w:p>
        </w:tc>
        <w:tc>
          <w:tcPr>
            <w:tcW w:type="dxa" w:w="6960"/>
            <w:vAlign w:val="center"/>
            <w:tcMar>
              <w:top w:w="80" w:type="dxa"/>
              <w:start w:w="120" w:type="dxa"/>
              <w:bottom w:w="80" w:type="dxa"/>
              <w:end w:w="120" w:type="dxa"/>
            </w:tcMar>
          </w:tcPr>
          <w:p>
            <w:pPr>
              <w:spacing w:after="0"/>
            </w:pPr>
            <w:r>
              <w:rPr>
                <w:rFonts w:ascii="Calibri" w:hAnsi="Calibri"/>
                <w:b w:val="0"/>
                <w:color w:val="000000"/>
                <w:sz w:val="19"/>
              </w:rPr>
              <w:t>What the program is designed to accomplish and how the outputs answer different financial questions.</w:t>
            </w:r>
          </w:p>
        </w:tc>
      </w:tr>
      <w:tr>
        <w:tc>
          <w:tcPr>
            <w:tcW w:type="dxa" w:w="2400"/>
            <w:shd w:fill="FAFBFC"/>
            <w:vAlign w:val="center"/>
            <w:tcMar>
              <w:top w:w="80" w:type="dxa"/>
              <w:start w:w="120" w:type="dxa"/>
              <w:bottom w:w="80" w:type="dxa"/>
              <w:end w:w="120" w:type="dxa"/>
            </w:tcMar>
          </w:tcPr>
          <w:p>
            <w:pPr>
              <w:spacing w:after="0"/>
            </w:pPr>
            <w:r>
              <w:rPr>
                <w:rFonts w:ascii="Calibri" w:hAnsi="Calibri"/>
                <w:b/>
                <w:color w:val="000000"/>
                <w:sz w:val="19"/>
              </w:rPr>
              <w:t>Equations</w:t>
            </w:r>
          </w:p>
        </w:tc>
        <w:tc>
          <w:tcPr>
            <w:tcW w:type="dxa" w:w="6960"/>
            <w:shd w:fill="FAFBFC"/>
            <w:vAlign w:val="center"/>
            <w:tcMar>
              <w:top w:w="80" w:type="dxa"/>
              <w:start w:w="120" w:type="dxa"/>
              <w:bottom w:w="80" w:type="dxa"/>
              <w:end w:w="120" w:type="dxa"/>
            </w:tcMar>
          </w:tcPr>
          <w:p>
            <w:pPr>
              <w:spacing w:after="0"/>
            </w:pPr>
            <w:r>
              <w:rPr>
                <w:rFonts w:ascii="Calibri" w:hAnsi="Calibri"/>
                <w:b w:val="0"/>
                <w:color w:val="000000"/>
                <w:sz w:val="19"/>
              </w:rPr>
              <w:t>Every financial formula, sign convention, denominator choice, and CAGR interval.</w:t>
            </w:r>
          </w:p>
        </w:tc>
      </w:tr>
      <w:tr>
        <w:tc>
          <w:tcPr>
            <w:tcW w:type="dxa" w:w="2400"/>
            <w:vAlign w:val="center"/>
            <w:tcMar>
              <w:top w:w="80" w:type="dxa"/>
              <w:start w:w="120" w:type="dxa"/>
              <w:bottom w:w="80" w:type="dxa"/>
              <w:end w:w="120" w:type="dxa"/>
            </w:tcMar>
          </w:tcPr>
          <w:p>
            <w:pPr>
              <w:spacing w:after="0"/>
            </w:pPr>
            <w:r>
              <w:rPr>
                <w:rFonts w:ascii="Calibri" w:hAnsi="Calibri"/>
                <w:b/>
                <w:color w:val="000000"/>
                <w:sz w:val="19"/>
              </w:rPr>
              <w:t>Method</w:t>
            </w:r>
          </w:p>
        </w:tc>
        <w:tc>
          <w:tcPr>
            <w:tcW w:type="dxa" w:w="6960"/>
            <w:vAlign w:val="center"/>
            <w:tcMar>
              <w:top w:w="80" w:type="dxa"/>
              <w:start w:w="120" w:type="dxa"/>
              <w:bottom w:w="80" w:type="dxa"/>
              <w:end w:w="120" w:type="dxa"/>
            </w:tcMar>
          </w:tcPr>
          <w:p>
            <w:pPr>
              <w:spacing w:after="0"/>
            </w:pPr>
            <w:r>
              <w:rPr>
                <w:rFonts w:ascii="Calibri" w:hAnsi="Calibri"/>
                <w:b w:val="0"/>
                <w:color w:val="000000"/>
                <w:sz w:val="19"/>
              </w:rPr>
              <w:t>Input, validation, model construction, plotting, export, and failure behavior.</w:t>
            </w:r>
          </w:p>
        </w:tc>
      </w:tr>
      <w:tr>
        <w:tc>
          <w:tcPr>
            <w:tcW w:type="dxa" w:w="2400"/>
            <w:shd w:fill="FAFBFC"/>
            <w:vAlign w:val="center"/>
            <w:tcMar>
              <w:top w:w="80" w:type="dxa"/>
              <w:start w:w="120" w:type="dxa"/>
              <w:bottom w:w="80" w:type="dxa"/>
              <w:end w:w="120" w:type="dxa"/>
            </w:tcMar>
          </w:tcPr>
          <w:p>
            <w:pPr>
              <w:spacing w:after="0"/>
            </w:pPr>
            <w:r>
              <w:rPr>
                <w:rFonts w:ascii="Calibri" w:hAnsi="Calibri"/>
                <w:b/>
                <w:color w:val="000000"/>
                <w:sz w:val="19"/>
              </w:rPr>
              <w:t>Limitations</w:t>
            </w:r>
          </w:p>
        </w:tc>
        <w:tc>
          <w:tcPr>
            <w:tcW w:type="dxa" w:w="6960"/>
            <w:shd w:fill="FAFBFC"/>
            <w:vAlign w:val="center"/>
            <w:tcMar>
              <w:top w:w="80" w:type="dxa"/>
              <w:start w:w="120" w:type="dxa"/>
              <w:bottom w:w="80" w:type="dxa"/>
              <w:end w:w="120" w:type="dxa"/>
            </w:tcMar>
          </w:tcPr>
          <w:p>
            <w:pPr>
              <w:spacing w:after="0"/>
            </w:pPr>
            <w:r>
              <w:rPr>
                <w:rFonts w:ascii="Calibri" w:hAnsi="Calibri"/>
                <w:b w:val="0"/>
                <w:color w:val="000000"/>
                <w:sz w:val="19"/>
              </w:rPr>
              <w:t>Simplifications, non-GAAP definitions, source scope, rounding, visual design risk, and missing forward-looking risk.</w:t>
            </w:r>
          </w:p>
        </w:tc>
      </w:tr>
    </w:tbl>
    <w:p>
      <w:pPr>
        <w:spacing w:after="0"/>
      </w:pPr>
    </w:p>
    <w:p>
      <w:r>
        <w:br w:type="page"/>
      </w:r>
    </w:p>
    <w:p>
      <w:pPr>
        <w:pStyle w:val="Heading1"/>
      </w:pPr>
      <w:r>
        <w:t>13. Annotated Python Starter Architecture</w:t>
      </w:r>
    </w:p>
    <w:p>
      <w:r>
        <w:t>The scaffold below is not a complete solution. It shows the architecture and control points your final program must contain. Annotation labels A1-A12 explain what each block is responsible for.</w:t>
      </w:r>
    </w:p>
    <w:p>
      <w:pPr>
        <w:pStyle w:val="CodeBlock"/>
        <w:keepLines/>
      </w:pPr>
      <w:r>
        <w:t>from pathlib import Path</w:t>
      </w:r>
    </w:p>
    <w:p>
      <w:pPr>
        <w:pStyle w:val="CodeBlock"/>
        <w:keepLines/>
      </w:pPr>
      <w:r>
        <w:t>import math</w:t>
      </w:r>
    </w:p>
    <w:p>
      <w:pPr>
        <w:pStyle w:val="CodeBlock"/>
        <w:keepLines/>
      </w:pPr>
      <w:r>
        <w:t>import pandas as pd</w:t>
      </w:r>
    </w:p>
    <w:p>
      <w:pPr>
        <w:pStyle w:val="CodeBlock"/>
        <w:keepLines/>
      </w:pPr>
      <w:r>
        <w:t xml:space="preserve"> </w:t>
      </w:r>
    </w:p>
    <w:p>
      <w:pPr>
        <w:pStyle w:val="CodeBlock"/>
        <w:keepLines/>
      </w:pPr>
      <w:r>
        <w:t># A1 - Read the standardized sheet by header names, not fixed cell addresses.</w:t>
      </w:r>
    </w:p>
    <w:p>
      <w:pPr>
        <w:pStyle w:val="CodeBlock"/>
        <w:keepLines/>
      </w:pPr>
      <w:r>
        <w:t>def load_metrics(workbook_path: Path) -&gt; dict[str, dict[int, float]]:</w:t>
      </w:r>
    </w:p>
    <w:p>
      <w:pPr>
        <w:pStyle w:val="CodeBlock"/>
        <w:keepLines/>
      </w:pPr>
      <w:r>
        <w:t xml:space="preserve">    df = pd.read_excel(workbook_path, sheet_name="01_Input", header=4)</w:t>
      </w:r>
    </w:p>
    <w:p>
      <w:pPr>
        <w:pStyle w:val="CodeBlock"/>
        <w:keepLines/>
      </w:pPr>
      <w:r>
        <w:t xml:space="preserve">    required = {"Metric_ID", "FY2025", "FY2024", "FY2023", "FY2022", "FY2021"}</w:t>
      </w:r>
    </w:p>
    <w:p>
      <w:pPr>
        <w:pStyle w:val="CodeBlock"/>
        <w:keepLines/>
      </w:pPr>
      <w:r>
        <w:t xml:space="preserve">    missing = required.difference(df.columns)</w:t>
      </w:r>
    </w:p>
    <w:p>
      <w:pPr>
        <w:pStyle w:val="CodeBlock"/>
        <w:keepLines/>
      </w:pPr>
      <w:r>
        <w:t xml:space="preserve">    if missing:</w:t>
      </w:r>
    </w:p>
    <w:p>
      <w:pPr>
        <w:pStyle w:val="CodeBlock"/>
        <w:keepLines/>
      </w:pPr>
      <w:r>
        <w:t xml:space="preserve">        raise ValueError(f"Missing required columns: {sorted(missing)}")</w:t>
      </w:r>
    </w:p>
    <w:p>
      <w:pPr>
        <w:pStyle w:val="CodeBlock"/>
        <w:keepLines/>
      </w:pPr>
      <w:r>
        <w:t xml:space="preserve"> </w:t>
      </w:r>
    </w:p>
    <w:p>
      <w:pPr>
        <w:pStyle w:val="CodeBlock"/>
        <w:keepLines/>
      </w:pPr>
      <w:r>
        <w:t xml:space="preserve">    # A2 - Metric_ID makes the program resistant to inserted or moved rows.</w:t>
      </w:r>
    </w:p>
    <w:p>
      <w:pPr>
        <w:pStyle w:val="CodeBlock"/>
        <w:keepLines/>
      </w:pPr>
      <w:r>
        <w:t xml:space="preserve">    df = df[df["Metric_ID"].notna()].copy()</w:t>
      </w:r>
    </w:p>
    <w:p>
      <w:pPr>
        <w:pStyle w:val="CodeBlock"/>
        <w:keepLines/>
      </w:pPr>
      <w:r>
        <w:t xml:space="preserve">    metrics = {}</w:t>
      </w:r>
    </w:p>
    <w:p>
      <w:pPr>
        <w:pStyle w:val="CodeBlock"/>
        <w:keepLines/>
      </w:pPr>
      <w:r>
        <w:t xml:space="preserve">    for _, row in df.iterrows():</w:t>
      </w:r>
    </w:p>
    <w:p>
      <w:pPr>
        <w:pStyle w:val="CodeBlock"/>
        <w:keepLines/>
      </w:pPr>
      <w:r>
        <w:t xml:space="preserve">        metric_id = str(row["Metric_ID"]).strip()</w:t>
      </w:r>
    </w:p>
    <w:p>
      <w:pPr>
        <w:pStyle w:val="CodeBlock"/>
        <w:keepLines/>
      </w:pPr>
      <w:r>
        <w:t xml:space="preserve">        metrics[metric_id] = {}</w:t>
      </w:r>
    </w:p>
    <w:p>
      <w:pPr>
        <w:pStyle w:val="CodeBlock"/>
        <w:keepLines/>
      </w:pPr>
      <w:r>
        <w:t xml:space="preserve">        for year in (2025, 2024, 2023, 2022, 2021):</w:t>
      </w:r>
    </w:p>
    <w:p>
      <w:pPr>
        <w:pStyle w:val="CodeBlock"/>
        <w:keepLines/>
      </w:pPr>
      <w:r>
        <w:t xml:space="preserve">            value = row.get(f"FY{year}")</w:t>
      </w:r>
    </w:p>
    <w:p>
      <w:pPr>
        <w:pStyle w:val="CodeBlock"/>
        <w:keepLines/>
      </w:pPr>
      <w:r>
        <w:t xml:space="preserve">            if pd.notna(value):</w:t>
      </w:r>
    </w:p>
    <w:p>
      <w:pPr>
        <w:pStyle w:val="CodeBlock"/>
        <w:keepLines/>
      </w:pPr>
      <w:r>
        <w:t xml:space="preserve">                metrics[metric_id][year] = float(value)</w:t>
      </w:r>
    </w:p>
    <w:p>
      <w:pPr>
        <w:pStyle w:val="CodeBlock"/>
        <w:keepLines/>
      </w:pPr>
      <w:r>
        <w:t xml:space="preserve">    return metrics</w:t>
      </w:r>
    </w:p>
    <w:p>
      <w:pPr>
        <w:pStyle w:val="CodeBlock"/>
        <w:keepLines/>
      </w:pPr>
      <w:r>
        <w:t xml:space="preserve"> </w:t>
      </w:r>
    </w:p>
    <w:p>
      <w:pPr>
        <w:pStyle w:val="CodeBlock"/>
        <w:keepLines/>
      </w:pPr>
      <w:r>
        <w:t># A3 - One accessor produces a clear failure instead of a silent blank or zero.</w:t>
      </w:r>
    </w:p>
    <w:p>
      <w:pPr>
        <w:pStyle w:val="CodeBlock"/>
        <w:keepLines/>
      </w:pPr>
      <w:r>
        <w:t>def value(metrics, metric_id: str, year: int) -&gt; float:</w:t>
      </w:r>
    </w:p>
    <w:p>
      <w:pPr>
        <w:pStyle w:val="CodeBlock"/>
        <w:keepLines/>
      </w:pPr>
      <w:r>
        <w:t xml:space="preserve">    try:</w:t>
      </w:r>
    </w:p>
    <w:p>
      <w:pPr>
        <w:pStyle w:val="CodeBlock"/>
        <w:keepLines/>
      </w:pPr>
      <w:r>
        <w:t xml:space="preserve">        return metrics[metric_id][year]</w:t>
      </w:r>
    </w:p>
    <w:p>
      <w:pPr>
        <w:pStyle w:val="CodeBlock"/>
        <w:keepLines/>
      </w:pPr>
      <w:r>
        <w:t xml:space="preserve">    except KeyError as exc:</w:t>
      </w:r>
    </w:p>
    <w:p>
      <w:pPr>
        <w:pStyle w:val="CodeBlock"/>
        <w:keepLines/>
      </w:pPr>
      <w:r>
        <w:t xml:space="preserve">        raise KeyError(f"Missing {metric_id} for FY{year}") from exc</w:t>
      </w:r>
    </w:p>
    <w:p>
      <w:pPr>
        <w:pStyle w:val="CodeBlock"/>
        <w:keepLines/>
      </w:pPr>
      <w:r>
        <w:t xml:space="preserve"> </w:t>
      </w:r>
    </w:p>
    <w:p>
      <w:pPr>
        <w:pStyle w:val="CodeBlock"/>
        <w:keepLines/>
      </w:pPr>
      <w:r>
        <w:t>def build_model(metrics) -&gt; dict[str, float]:</w:t>
      </w:r>
    </w:p>
    <w:p>
      <w:pPr>
        <w:pStyle w:val="CodeBlock"/>
        <w:keepLines/>
      </w:pPr>
      <w:r>
        <w:t xml:space="preserve">    model = {}</w:t>
      </w:r>
    </w:p>
    <w:p>
      <w:pPr>
        <w:pStyle w:val="CodeBlock"/>
        <w:keepLines/>
      </w:pPr>
      <w:r>
        <w:t xml:space="preserve">    model["sales"] = value(metrics, "NET_SALES", 2025)</w:t>
      </w:r>
    </w:p>
    <w:p>
      <w:pPr>
        <w:pStyle w:val="CodeBlock"/>
        <w:keepLines/>
      </w:pPr>
      <w:r>
        <w:t xml:space="preserve">    model["cogs"] = value(metrics, "COGS", 2025)</w:t>
      </w:r>
    </w:p>
    <w:p>
      <w:pPr>
        <w:pStyle w:val="CodeBlock"/>
        <w:keepLines/>
      </w:pPr>
      <w:r>
        <w:t xml:space="preserve">    model["gross_profit"] = model["sales"] - model["cogs"]  # A4 - identity</w:t>
      </w:r>
    </w:p>
    <w:p>
      <w:pPr>
        <w:pStyle w:val="CodeBlock"/>
        <w:keepLines/>
      </w:pPr>
      <w:r>
        <w:t xml:space="preserve"> </w:t>
      </w:r>
    </w:p>
    <w:p>
      <w:pPr>
        <w:pStyle w:val="CodeBlock"/>
        <w:keepLines/>
      </w:pPr>
      <w:r>
        <w:t xml:space="preserve">    # A5 - Raw CapEx is negative on the cash-flow statement; the formula uses a</w:t>
      </w:r>
    </w:p>
    <w:p>
      <w:pPr>
        <w:pStyle w:val="CodeBlock"/>
        <w:keepLines/>
      </w:pPr>
      <w:r>
        <w:t xml:space="preserve">    # positive magnitude that is subtracted once.</w:t>
      </w:r>
    </w:p>
    <w:p>
      <w:pPr>
        <w:pStyle w:val="CodeBlock"/>
        <w:keepLines/>
      </w:pPr>
      <w:r>
        <w:t xml:space="preserve">    model["capex"] = abs(value(metrics, "CAPEX", 2025))</w:t>
      </w:r>
    </w:p>
    <w:p>
      <w:pPr>
        <w:pStyle w:val="CodeBlock"/>
        <w:keepLines/>
      </w:pPr>
      <w:r>
        <w:t xml:space="preserve"> </w:t>
      </w:r>
    </w:p>
    <w:p>
      <w:pPr>
        <w:pStyle w:val="CodeBlock"/>
        <w:keepLines/>
      </w:pPr>
      <w:r>
        <w:t xml:space="preserve">    # A6 - Use average balance-sheet values with full-year sales and earnings.</w:t>
      </w:r>
    </w:p>
    <w:p>
      <w:pPr>
        <w:pStyle w:val="CodeBlock"/>
        <w:keepLines/>
      </w:pPr>
      <w:r>
        <w:t xml:space="preserve">    model["avg_assets"] = (</w:t>
      </w:r>
    </w:p>
    <w:p>
      <w:pPr>
        <w:pStyle w:val="CodeBlock"/>
        <w:keepLines/>
      </w:pPr>
      <w:r>
        <w:t xml:space="preserve">        value(metrics, "TOTAL_ASSETS", 2025)</w:t>
      </w:r>
    </w:p>
    <w:p>
      <w:pPr>
        <w:pStyle w:val="CodeBlock"/>
        <w:keepLines/>
      </w:pPr>
      <w:r>
        <w:t xml:space="preserve">        + value(metrics, "TOTAL_ASSETS", 2024)</w:t>
      </w:r>
    </w:p>
    <w:p>
      <w:pPr>
        <w:pStyle w:val="CodeBlock"/>
        <w:keepLines/>
      </w:pPr>
      <w:r>
        <w:t xml:space="preserve">    ) / 2</w:t>
      </w:r>
    </w:p>
    <w:p>
      <w:pPr>
        <w:pStyle w:val="CodeBlock"/>
        <w:keepLines/>
      </w:pPr>
      <w:r>
        <w:t xml:space="preserve"> </w:t>
      </w:r>
    </w:p>
    <w:p>
      <w:pPr>
        <w:pStyle w:val="CodeBlock"/>
        <w:keepLines/>
      </w:pPr>
      <w:r>
        <w:t xml:space="preserve">    # A7 - CAGR has four intervals between five annual observations.</w:t>
      </w:r>
    </w:p>
    <w:p>
      <w:pPr>
        <w:pStyle w:val="CodeBlock"/>
        <w:keepLines/>
      </w:pPr>
      <w:r>
        <w:t xml:space="preserve">    sales_2021 = value(metrics, "NET_SALES", 2021)</w:t>
      </w:r>
    </w:p>
    <w:p>
      <w:pPr>
        <w:pStyle w:val="CodeBlock"/>
        <w:keepLines/>
      </w:pPr>
      <w:r>
        <w:t xml:space="preserve">    model["sales_cagr"] = (model["sales"] / sales_2021) ** (1 / 4) - 1</w:t>
      </w:r>
    </w:p>
    <w:p>
      <w:pPr>
        <w:pStyle w:val="CodeBlock"/>
        <w:keepLines/>
      </w:pPr>
      <w:r>
        <w:t xml:space="preserve">    return model</w:t>
      </w:r>
    </w:p>
    <w:p>
      <w:pPr>
        <w:pStyle w:val="CodeBlock"/>
        <w:keepLines/>
      </w:pPr>
      <w:r>
        <w:t xml:space="preserve"> </w:t>
      </w:r>
    </w:p>
    <w:p>
      <w:pPr>
        <w:pStyle w:val="CodeBlock"/>
        <w:keepLines/>
      </w:pPr>
      <w:r>
        <w:t># A8 - Checks compare two independently constructed sides of each identity.</w:t>
      </w:r>
    </w:p>
    <w:p>
      <w:pPr>
        <w:pStyle w:val="CodeBlock"/>
        <w:keepLines/>
      </w:pPr>
      <w:r>
        <w:t>def close_enough(actual: float, expected: float, tolerance: float) -&gt; bool:</w:t>
      </w:r>
    </w:p>
    <w:p>
      <w:pPr>
        <w:pStyle w:val="CodeBlock"/>
        <w:keepLines/>
      </w:pPr>
      <w:r>
        <w:t xml:space="preserve">    return math.isclose(actual, expected, abs_tol=tolerance)</w:t>
      </w:r>
    </w:p>
    <w:p>
      <w:pPr>
        <w:pStyle w:val="CodeBlock"/>
        <w:keepLines/>
      </w:pPr>
      <w:r>
        <w:t xml:space="preserve"> </w:t>
      </w:r>
    </w:p>
    <w:p>
      <w:pPr>
        <w:pStyle w:val="CodeBlock"/>
        <w:keepLines/>
      </w:pPr>
      <w:r>
        <w:t>def require_check(name: str, actual: float, expected: float, tolerance: float) -&gt; None:</w:t>
      </w:r>
    </w:p>
    <w:p>
      <w:pPr>
        <w:pStyle w:val="CodeBlock"/>
        <w:keepLines/>
      </w:pPr>
      <w:r>
        <w:t xml:space="preserve">    if not close_enough(actual, expected, tolerance):</w:t>
      </w:r>
    </w:p>
    <w:p>
      <w:pPr>
        <w:pStyle w:val="CodeBlock"/>
        <w:keepLines/>
      </w:pPr>
      <w:r>
        <w:t xml:space="preserve">        raise RuntimeError(f"{name} failed: {actual} versus {expected}")  # A9</w:t>
      </w:r>
    </w:p>
    <w:p>
      <w:pPr>
        <w:pStyle w:val="CodeBlock"/>
        <w:keepLines/>
      </w:pPr>
      <w:r>
        <w:t xml:space="preserve"> </w:t>
      </w:r>
    </w:p>
    <w:p>
      <w:pPr>
        <w:pStyle w:val="CodeBlock"/>
        <w:keepLines/>
      </w:pPr>
      <w:r>
        <w:t>def main() -&gt; int:</w:t>
      </w:r>
    </w:p>
    <w:p>
      <w:pPr>
        <w:pStyle w:val="CodeBlock"/>
        <w:keepLines/>
      </w:pPr>
      <w:r>
        <w:t xml:space="preserve">    workbook = Path("PG_FinancialStory_Student.xlsx")  # A10 - relative path</w:t>
      </w:r>
    </w:p>
    <w:p>
      <w:pPr>
        <w:pStyle w:val="CodeBlock"/>
        <w:keepLines/>
      </w:pPr>
      <w:r>
        <w:t xml:space="preserve">    metrics = load_metrics(workbook)</w:t>
      </w:r>
    </w:p>
    <w:p>
      <w:pPr>
        <w:pStyle w:val="CodeBlock"/>
        <w:keepLines/>
      </w:pPr>
      <w:r>
        <w:t xml:space="preserve">    model = build_model(metrics)</w:t>
      </w:r>
    </w:p>
    <w:p>
      <w:pPr>
        <w:pStyle w:val="CodeBlock"/>
        <w:keepLines/>
      </w:pPr>
      <w:r>
        <w:t xml:space="preserve">    require_check(</w:t>
      </w:r>
    </w:p>
    <w:p>
      <w:pPr>
        <w:pStyle w:val="CodeBlock"/>
        <w:keepLines/>
      </w:pPr>
      <w:r>
        <w:t xml:space="preserve">        "Revenue identity",</w:t>
      </w:r>
    </w:p>
    <w:p>
      <w:pPr>
        <w:pStyle w:val="CodeBlock"/>
        <w:keepLines/>
      </w:pPr>
      <w:r>
        <w:t xml:space="preserve">        model["cogs"] + model["gross_profit"],</w:t>
      </w:r>
    </w:p>
    <w:p>
      <w:pPr>
        <w:pStyle w:val="CodeBlock"/>
        <w:keepLines/>
      </w:pPr>
      <w:r>
        <w:t xml:space="preserve">        model["sales"],</w:t>
      </w:r>
    </w:p>
    <w:p>
      <w:pPr>
        <w:pStyle w:val="CodeBlock"/>
        <w:keepLines/>
      </w:pPr>
      <w:r>
        <w:t xml:space="preserve">        1.0,</w:t>
      </w:r>
    </w:p>
    <w:p>
      <w:pPr>
        <w:pStyle w:val="CodeBlock"/>
        <w:keepLines/>
      </w:pPr>
      <w:r>
        <w:t xml:space="preserve">    )</w:t>
      </w:r>
    </w:p>
    <w:p>
      <w:pPr>
        <w:pStyle w:val="CodeBlock"/>
        <w:keepLines/>
      </w:pPr>
      <w:r>
        <w:t xml:space="preserve">    # A11 - Call one function per chart only after all required checks pass.</w:t>
      </w:r>
    </w:p>
    <w:p>
      <w:pPr>
        <w:pStyle w:val="CodeBlock"/>
        <w:keepLines/>
      </w:pPr>
      <w:r>
        <w:t xml:space="preserve">    # save_sankey(model, Path("PG_01_Income_Statement_Sankey.png"))</w:t>
      </w:r>
    </w:p>
    <w:p>
      <w:pPr>
        <w:pStyle w:val="CodeBlock"/>
        <w:keepLines/>
      </w:pPr>
      <w:r>
        <w:t xml:space="preserve">    # save_waterfall(...); save_trend(...); save_dupont(...)</w:t>
      </w:r>
    </w:p>
    <w:p>
      <w:pPr>
        <w:pStyle w:val="CodeBlock"/>
        <w:keepLines/>
      </w:pPr>
      <w:r>
        <w:t xml:space="preserve">    return 0</w:t>
      </w:r>
    </w:p>
    <w:p>
      <w:pPr>
        <w:pStyle w:val="CodeBlock"/>
        <w:keepLines/>
      </w:pPr>
      <w:r>
        <w:t xml:space="preserve"> </w:t>
      </w:r>
    </w:p>
    <w:p>
      <w:pPr>
        <w:pStyle w:val="CodeBlock"/>
        <w:keepLines/>
      </w:pPr>
      <w:r>
        <w:t>if __name__ == "__main__":</w:t>
      </w:r>
    </w:p>
    <w:p>
      <w:pPr>
        <w:pStyle w:val="CodeBlock"/>
        <w:keepLines/>
      </w:pPr>
      <w:r>
        <w:t xml:space="preserve">    raise SystemExit(main())  # A12 - returns a visible process status.</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1800"/>
        <w:gridCol w:w="7560"/>
      </w:tblGrid>
      <w:tr>
        <w:trPr>
          <w:tblHeader w:val="true"/>
        </w:trPr>
        <w:tc>
          <w:tcPr>
            <w:tcW w:type="dxa" w:w="1800"/>
            <w:vAlign w:val="center"/>
            <w:tcMar>
              <w:top w:w="80" w:type="dxa"/>
              <w:start w:w="120" w:type="dxa"/>
              <w:bottom w:w="80" w:type="dxa"/>
              <w:end w:w="120" w:type="dxa"/>
            </w:tcMar>
            <w:shd w:fill="E8EEF5"/>
          </w:tcPr>
          <w:p>
            <w:pPr>
              <w:spacing w:after="0"/>
            </w:pPr>
            <w:r>
              <w:rPr>
                <w:rFonts w:ascii="Calibri" w:hAnsi="Calibri"/>
                <w:b/>
                <w:color w:val="0B2545"/>
                <w:sz w:val="19"/>
              </w:rPr>
              <w:t>Annotation</w:t>
            </w:r>
          </w:p>
        </w:tc>
        <w:tc>
          <w:tcPr>
            <w:tcW w:type="dxa" w:w="7560"/>
            <w:vAlign w:val="center"/>
            <w:tcMar>
              <w:top w:w="80" w:type="dxa"/>
              <w:start w:w="120" w:type="dxa"/>
              <w:bottom w:w="80" w:type="dxa"/>
              <w:end w:w="120" w:type="dxa"/>
            </w:tcMar>
            <w:shd w:fill="E8EEF5"/>
          </w:tcPr>
          <w:p>
            <w:pPr>
              <w:spacing w:after="0"/>
            </w:pPr>
            <w:r>
              <w:rPr>
                <w:rFonts w:ascii="Calibri" w:hAnsi="Calibri"/>
                <w:b/>
                <w:color w:val="0B2545"/>
                <w:sz w:val="19"/>
              </w:rPr>
              <w:t>What you must be able to explain</w:t>
            </w:r>
          </w:p>
        </w:tc>
      </w:tr>
      <w:tr>
        <w:tc>
          <w:tcPr>
            <w:tcW w:type="dxa" w:w="1800"/>
            <w:vAlign w:val="center"/>
            <w:tcMar>
              <w:top w:w="80" w:type="dxa"/>
              <w:start w:w="120" w:type="dxa"/>
              <w:bottom w:w="80" w:type="dxa"/>
              <w:end w:w="120" w:type="dxa"/>
            </w:tcMar>
          </w:tcPr>
          <w:p>
            <w:pPr>
              <w:spacing w:after="0"/>
            </w:pPr>
            <w:r>
              <w:rPr>
                <w:rFonts w:ascii="Calibri" w:hAnsi="Calibri"/>
                <w:b/>
                <w:color w:val="000000"/>
                <w:sz w:val="19"/>
              </w:rPr>
              <w:t>A1-A3</w:t>
            </w:r>
          </w:p>
        </w:tc>
        <w:tc>
          <w:tcPr>
            <w:tcW w:type="dxa" w:w="7560"/>
            <w:vAlign w:val="center"/>
            <w:tcMar>
              <w:top w:w="80" w:type="dxa"/>
              <w:start w:w="120" w:type="dxa"/>
              <w:bottom w:w="80" w:type="dxa"/>
              <w:end w:w="120" w:type="dxa"/>
            </w:tcMar>
          </w:tcPr>
          <w:p>
            <w:pPr>
              <w:spacing w:after="0"/>
            </w:pPr>
            <w:r>
              <w:rPr>
                <w:rFonts w:ascii="Calibri" w:hAnsi="Calibri"/>
                <w:b w:val="0"/>
                <w:color w:val="000000"/>
                <w:sz w:val="19"/>
              </w:rPr>
              <w:t>How the program reads the workbook and fails when inputs are missing.</w:t>
            </w:r>
          </w:p>
        </w:tc>
      </w:tr>
      <w:tr>
        <w:tc>
          <w:tcPr>
            <w:tcW w:type="dxa" w:w="1800"/>
            <w:shd w:fill="FAFBFC"/>
            <w:vAlign w:val="center"/>
            <w:tcMar>
              <w:top w:w="80" w:type="dxa"/>
              <w:start w:w="120" w:type="dxa"/>
              <w:bottom w:w="80" w:type="dxa"/>
              <w:end w:w="120" w:type="dxa"/>
            </w:tcMar>
          </w:tcPr>
          <w:p>
            <w:pPr>
              <w:spacing w:after="0"/>
            </w:pPr>
            <w:r>
              <w:rPr>
                <w:rFonts w:ascii="Calibri" w:hAnsi="Calibri"/>
                <w:b/>
                <w:color w:val="000000"/>
                <w:sz w:val="19"/>
              </w:rPr>
              <w:t>A4-A7</w:t>
            </w:r>
          </w:p>
        </w:tc>
        <w:tc>
          <w:tcPr>
            <w:tcW w:type="dxa" w:w="7560"/>
            <w:shd w:fill="FAFBFC"/>
            <w:vAlign w:val="center"/>
            <w:tcMar>
              <w:top w:w="80" w:type="dxa"/>
              <w:start w:w="120" w:type="dxa"/>
              <w:bottom w:w="80" w:type="dxa"/>
              <w:end w:w="120" w:type="dxa"/>
            </w:tcMar>
          </w:tcPr>
          <w:p>
            <w:pPr>
              <w:spacing w:after="0"/>
            </w:pPr>
            <w:r>
              <w:rPr>
                <w:rFonts w:ascii="Calibri" w:hAnsi="Calibri"/>
                <w:b w:val="0"/>
                <w:color w:val="000000"/>
                <w:sz w:val="19"/>
              </w:rPr>
              <w:t>Where finance definitions, sign rules, averages, and time intervals enter the model.</w:t>
            </w:r>
          </w:p>
        </w:tc>
      </w:tr>
      <w:tr>
        <w:tc>
          <w:tcPr>
            <w:tcW w:type="dxa" w:w="1800"/>
            <w:vAlign w:val="center"/>
            <w:tcMar>
              <w:top w:w="80" w:type="dxa"/>
              <w:start w:w="120" w:type="dxa"/>
              <w:bottom w:w="80" w:type="dxa"/>
              <w:end w:w="120" w:type="dxa"/>
            </w:tcMar>
          </w:tcPr>
          <w:p>
            <w:pPr>
              <w:spacing w:after="0"/>
            </w:pPr>
            <w:r>
              <w:rPr>
                <w:rFonts w:ascii="Calibri" w:hAnsi="Calibri"/>
                <w:b/>
                <w:color w:val="000000"/>
                <w:sz w:val="19"/>
              </w:rPr>
              <w:t>A8-A9</w:t>
            </w:r>
          </w:p>
        </w:tc>
        <w:tc>
          <w:tcPr>
            <w:tcW w:type="dxa" w:w="7560"/>
            <w:vAlign w:val="center"/>
            <w:tcMar>
              <w:top w:w="80" w:type="dxa"/>
              <w:start w:w="120" w:type="dxa"/>
              <w:bottom w:w="80" w:type="dxa"/>
              <w:end w:w="120" w:type="dxa"/>
            </w:tcMar>
          </w:tcPr>
          <w:p>
            <w:pPr>
              <w:spacing w:after="0"/>
            </w:pPr>
            <w:r>
              <w:rPr>
                <w:rFonts w:ascii="Calibri" w:hAnsi="Calibri"/>
                <w:b w:val="0"/>
                <w:color w:val="000000"/>
                <w:sz w:val="19"/>
              </w:rPr>
              <w:t>Why tolerance-based checks are stronger than accepting printed output.</w:t>
            </w:r>
          </w:p>
        </w:tc>
      </w:tr>
      <w:tr>
        <w:tc>
          <w:tcPr>
            <w:tcW w:type="dxa" w:w="1800"/>
            <w:shd w:fill="FAFBFC"/>
            <w:vAlign w:val="center"/>
            <w:tcMar>
              <w:top w:w="80" w:type="dxa"/>
              <w:start w:w="120" w:type="dxa"/>
              <w:bottom w:w="80" w:type="dxa"/>
              <w:end w:w="120" w:type="dxa"/>
            </w:tcMar>
          </w:tcPr>
          <w:p>
            <w:pPr>
              <w:spacing w:after="0"/>
            </w:pPr>
            <w:r>
              <w:rPr>
                <w:rFonts w:ascii="Calibri" w:hAnsi="Calibri"/>
                <w:b/>
                <w:color w:val="000000"/>
                <w:sz w:val="19"/>
              </w:rPr>
              <w:t>A10-A12</w:t>
            </w:r>
          </w:p>
        </w:tc>
        <w:tc>
          <w:tcPr>
            <w:tcW w:type="dxa" w:w="7560"/>
            <w:shd w:fill="FAFBFC"/>
            <w:vAlign w:val="center"/>
            <w:tcMar>
              <w:top w:w="80" w:type="dxa"/>
              <w:start w:w="120" w:type="dxa"/>
              <w:bottom w:w="80" w:type="dxa"/>
              <w:end w:w="120" w:type="dxa"/>
            </w:tcMar>
          </w:tcPr>
          <w:p>
            <w:pPr>
              <w:spacing w:after="0"/>
            </w:pPr>
            <w:r>
              <w:rPr>
                <w:rFonts w:ascii="Calibri" w:hAnsi="Calibri"/>
                <w:b w:val="0"/>
                <w:color w:val="000000"/>
                <w:sz w:val="19"/>
              </w:rPr>
              <w:t>Why relative paths, ordered execution, and process status support reproducibility.</w:t>
            </w:r>
          </w:p>
        </w:tc>
      </w:tr>
    </w:tbl>
    <w:p>
      <w:pPr>
        <w:spacing w:after="0"/>
      </w:pPr>
    </w:p>
    <w:p>
      <w:pPr>
        <w:pStyle w:val="Heading1"/>
      </w:pPr>
      <w:r>
        <w:t>14. AI Verification Requirements</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1350"/>
        <w:gridCol w:w="4100"/>
        <w:gridCol w:w="3910"/>
      </w:tblGrid>
      <w:tr>
        <w:trPr>
          <w:tblHeader w:val="true"/>
        </w:trPr>
        <w:tc>
          <w:tcPr>
            <w:tcW w:type="dxa" w:w="1350"/>
            <w:vAlign w:val="center"/>
            <w:tcMar>
              <w:top w:w="80" w:type="dxa"/>
              <w:start w:w="120" w:type="dxa"/>
              <w:bottom w:w="80" w:type="dxa"/>
              <w:end w:w="120" w:type="dxa"/>
            </w:tcMar>
            <w:shd w:fill="E8EEF5"/>
          </w:tcPr>
          <w:p>
            <w:pPr>
              <w:spacing w:after="0"/>
            </w:pPr>
            <w:r>
              <w:rPr>
                <w:rFonts w:ascii="Calibri" w:hAnsi="Calibri"/>
                <w:b/>
                <w:color w:val="0B2545"/>
                <w:sz w:val="17"/>
              </w:rPr>
              <w:t>Layer</w:t>
            </w:r>
          </w:p>
        </w:tc>
        <w:tc>
          <w:tcPr>
            <w:tcW w:type="dxa" w:w="4100"/>
            <w:vAlign w:val="center"/>
            <w:tcMar>
              <w:top w:w="80" w:type="dxa"/>
              <w:start w:w="120" w:type="dxa"/>
              <w:bottom w:w="80" w:type="dxa"/>
              <w:end w:w="120" w:type="dxa"/>
            </w:tcMar>
            <w:shd w:fill="E8EEF5"/>
          </w:tcPr>
          <w:p>
            <w:pPr>
              <w:spacing w:after="0"/>
            </w:pPr>
            <w:r>
              <w:rPr>
                <w:rFonts w:ascii="Calibri" w:hAnsi="Calibri"/>
                <w:b/>
                <w:color w:val="0B2545"/>
                <w:sz w:val="17"/>
              </w:rPr>
              <w:t>Question</w:t>
            </w:r>
          </w:p>
        </w:tc>
        <w:tc>
          <w:tcPr>
            <w:tcW w:type="dxa" w:w="3910"/>
            <w:vAlign w:val="center"/>
            <w:tcMar>
              <w:top w:w="80" w:type="dxa"/>
              <w:start w:w="120" w:type="dxa"/>
              <w:bottom w:w="80" w:type="dxa"/>
              <w:end w:w="120" w:type="dxa"/>
            </w:tcMar>
            <w:shd w:fill="E8EEF5"/>
          </w:tcPr>
          <w:p>
            <w:pPr>
              <w:spacing w:after="0"/>
            </w:pPr>
            <w:r>
              <w:rPr>
                <w:rFonts w:ascii="Calibri" w:hAnsi="Calibri"/>
                <w:b/>
                <w:color w:val="0B2545"/>
                <w:sz w:val="17"/>
              </w:rPr>
              <w:t>Required evidence</w:t>
            </w:r>
          </w:p>
        </w:tc>
      </w:tr>
      <w:tr>
        <w:tc>
          <w:tcPr>
            <w:tcW w:type="dxa" w:w="1350"/>
            <w:vAlign w:val="center"/>
            <w:tcMar>
              <w:top w:w="80" w:type="dxa"/>
              <w:start w:w="120" w:type="dxa"/>
              <w:bottom w:w="80" w:type="dxa"/>
              <w:end w:w="120" w:type="dxa"/>
            </w:tcMar>
          </w:tcPr>
          <w:p>
            <w:pPr>
              <w:spacing w:after="0"/>
            </w:pPr>
            <w:r>
              <w:rPr>
                <w:rFonts w:ascii="Calibri" w:hAnsi="Calibri"/>
                <w:b w:val="0"/>
                <w:color w:val="000000"/>
                <w:sz w:val="17"/>
              </w:rPr>
              <w:t>Source</w:t>
            </w:r>
          </w:p>
        </w:tc>
        <w:tc>
          <w:tcPr>
            <w:tcW w:type="dxa" w:w="4100"/>
            <w:vAlign w:val="center"/>
            <w:tcMar>
              <w:top w:w="80" w:type="dxa"/>
              <w:start w:w="120" w:type="dxa"/>
              <w:bottom w:w="80" w:type="dxa"/>
              <w:end w:w="120" w:type="dxa"/>
            </w:tcMar>
          </w:tcPr>
          <w:p>
            <w:pPr>
              <w:spacing w:after="0"/>
            </w:pPr>
            <w:r>
              <w:rPr>
                <w:rFonts w:ascii="Calibri" w:hAnsi="Calibri"/>
                <w:b w:val="0"/>
                <w:color w:val="000000"/>
                <w:sz w:val="17"/>
              </w:rPr>
              <w:t>Did the program read the correct audited value, period, unit, and sign?</w:t>
            </w:r>
          </w:p>
        </w:tc>
        <w:tc>
          <w:tcPr>
            <w:tcW w:type="dxa" w:w="3910"/>
            <w:vAlign w:val="center"/>
            <w:tcMar>
              <w:top w:w="80" w:type="dxa"/>
              <w:start w:w="120" w:type="dxa"/>
              <w:bottom w:w="80" w:type="dxa"/>
              <w:end w:w="120" w:type="dxa"/>
            </w:tcMar>
          </w:tcPr>
          <w:p>
            <w:pPr>
              <w:spacing w:after="0"/>
            </w:pPr>
            <w:r>
              <w:rPr>
                <w:rFonts w:ascii="Calibri" w:hAnsi="Calibri"/>
                <w:b w:val="0"/>
                <w:color w:val="000000"/>
                <w:sz w:val="17"/>
              </w:rPr>
              <w:t>Workbook cell/Metric_ID and 10-K page/tab.</w:t>
            </w:r>
          </w:p>
        </w:tc>
      </w:tr>
      <w:tr>
        <w:tc>
          <w:tcPr>
            <w:tcW w:type="dxa" w:w="1350"/>
            <w:shd w:fill="FAFBFC"/>
            <w:vAlign w:val="center"/>
            <w:tcMar>
              <w:top w:w="80" w:type="dxa"/>
              <w:start w:w="120" w:type="dxa"/>
              <w:bottom w:w="80" w:type="dxa"/>
              <w:end w:w="120" w:type="dxa"/>
            </w:tcMar>
          </w:tcPr>
          <w:p>
            <w:pPr>
              <w:spacing w:after="0"/>
            </w:pPr>
            <w:r>
              <w:rPr>
                <w:rFonts w:ascii="Calibri" w:hAnsi="Calibri"/>
                <w:b w:val="0"/>
                <w:color w:val="000000"/>
                <w:sz w:val="17"/>
              </w:rPr>
              <w:t>Formula</w:t>
            </w:r>
          </w:p>
        </w:tc>
        <w:tc>
          <w:tcPr>
            <w:tcW w:type="dxa" w:w="4100"/>
            <w:shd w:fill="FAFBFC"/>
            <w:vAlign w:val="center"/>
            <w:tcMar>
              <w:top w:w="80" w:type="dxa"/>
              <w:start w:w="120" w:type="dxa"/>
              <w:bottom w:w="80" w:type="dxa"/>
              <w:end w:w="120" w:type="dxa"/>
            </w:tcMar>
          </w:tcPr>
          <w:p>
            <w:pPr>
              <w:spacing w:after="0"/>
            </w:pPr>
            <w:r>
              <w:rPr>
                <w:rFonts w:ascii="Calibri" w:hAnsi="Calibri"/>
                <w:b w:val="0"/>
                <w:color w:val="000000"/>
                <w:sz w:val="17"/>
              </w:rPr>
              <w:t>Does the equation match the finance definition and denominator choice?</w:t>
            </w:r>
          </w:p>
        </w:tc>
        <w:tc>
          <w:tcPr>
            <w:tcW w:type="dxa" w:w="3910"/>
            <w:shd w:fill="FAFBFC"/>
            <w:vAlign w:val="center"/>
            <w:tcMar>
              <w:top w:w="80" w:type="dxa"/>
              <w:start w:w="120" w:type="dxa"/>
              <w:bottom w:w="80" w:type="dxa"/>
              <w:end w:w="120" w:type="dxa"/>
            </w:tcMar>
          </w:tcPr>
          <w:p>
            <w:pPr>
              <w:spacing w:after="0"/>
            </w:pPr>
            <w:r>
              <w:rPr>
                <w:rFonts w:ascii="Calibri" w:hAnsi="Calibri"/>
                <w:b w:val="0"/>
                <w:color w:val="000000"/>
                <w:sz w:val="17"/>
              </w:rPr>
              <w:t>Manual calculation and formula worksheet.</w:t>
            </w:r>
          </w:p>
        </w:tc>
      </w:tr>
      <w:tr>
        <w:tc>
          <w:tcPr>
            <w:tcW w:type="dxa" w:w="1350"/>
            <w:vAlign w:val="center"/>
            <w:tcMar>
              <w:top w:w="80" w:type="dxa"/>
              <w:start w:w="120" w:type="dxa"/>
              <w:bottom w:w="80" w:type="dxa"/>
              <w:end w:w="120" w:type="dxa"/>
            </w:tcMar>
          </w:tcPr>
          <w:p>
            <w:pPr>
              <w:spacing w:after="0"/>
            </w:pPr>
            <w:r>
              <w:rPr>
                <w:rFonts w:ascii="Calibri" w:hAnsi="Calibri"/>
                <w:b w:val="0"/>
                <w:color w:val="000000"/>
                <w:sz w:val="17"/>
              </w:rPr>
              <w:t>Program</w:t>
            </w:r>
          </w:p>
        </w:tc>
        <w:tc>
          <w:tcPr>
            <w:tcW w:type="dxa" w:w="4100"/>
            <w:vAlign w:val="center"/>
            <w:tcMar>
              <w:top w:w="80" w:type="dxa"/>
              <w:start w:w="120" w:type="dxa"/>
              <w:bottom w:w="80" w:type="dxa"/>
              <w:end w:w="120" w:type="dxa"/>
            </w:tcMar>
          </w:tcPr>
          <w:p>
            <w:pPr>
              <w:spacing w:after="0"/>
            </w:pPr>
            <w:r>
              <w:rPr>
                <w:rFonts w:ascii="Calibri" w:hAnsi="Calibri"/>
                <w:b w:val="0"/>
                <w:color w:val="000000"/>
                <w:sz w:val="17"/>
              </w:rPr>
              <w:t>Does code implement the formula without hard-coded or sign errors?</w:t>
            </w:r>
          </w:p>
        </w:tc>
        <w:tc>
          <w:tcPr>
            <w:tcW w:type="dxa" w:w="3910"/>
            <w:vAlign w:val="center"/>
            <w:tcMar>
              <w:top w:w="80" w:type="dxa"/>
              <w:start w:w="120" w:type="dxa"/>
              <w:bottom w:w="80" w:type="dxa"/>
              <w:end w:w="120" w:type="dxa"/>
            </w:tcMar>
          </w:tcPr>
          <w:p>
            <w:pPr>
              <w:spacing w:after="0"/>
            </w:pPr>
            <w:r>
              <w:rPr>
                <w:rFonts w:ascii="Calibri" w:hAnsi="Calibri"/>
                <w:b w:val="0"/>
                <w:color w:val="000000"/>
                <w:sz w:val="17"/>
              </w:rPr>
              <w:t>Annotated function and test result.</w:t>
            </w:r>
          </w:p>
        </w:tc>
      </w:tr>
      <w:tr>
        <w:tc>
          <w:tcPr>
            <w:tcW w:type="dxa" w:w="1350"/>
            <w:shd w:fill="FAFBFC"/>
            <w:vAlign w:val="center"/>
            <w:tcMar>
              <w:top w:w="80" w:type="dxa"/>
              <w:start w:w="120" w:type="dxa"/>
              <w:bottom w:w="80" w:type="dxa"/>
              <w:end w:w="120" w:type="dxa"/>
            </w:tcMar>
          </w:tcPr>
          <w:p>
            <w:pPr>
              <w:spacing w:after="0"/>
            </w:pPr>
            <w:r>
              <w:rPr>
                <w:rFonts w:ascii="Calibri" w:hAnsi="Calibri"/>
                <w:b w:val="0"/>
                <w:color w:val="000000"/>
                <w:sz w:val="17"/>
              </w:rPr>
              <w:t>Visual</w:t>
            </w:r>
          </w:p>
        </w:tc>
        <w:tc>
          <w:tcPr>
            <w:tcW w:type="dxa" w:w="4100"/>
            <w:shd w:fill="FAFBFC"/>
            <w:vAlign w:val="center"/>
            <w:tcMar>
              <w:top w:w="80" w:type="dxa"/>
              <w:start w:w="120" w:type="dxa"/>
              <w:bottom w:w="80" w:type="dxa"/>
              <w:end w:w="120" w:type="dxa"/>
            </w:tcMar>
          </w:tcPr>
          <w:p>
            <w:pPr>
              <w:spacing w:after="0"/>
            </w:pPr>
            <w:r>
              <w:rPr>
                <w:rFonts w:ascii="Calibri" w:hAnsi="Calibri"/>
                <w:b w:val="0"/>
                <w:color w:val="000000"/>
                <w:sz w:val="17"/>
              </w:rPr>
              <w:t>Do widths, directions, axes, labels, and colors tell the same truth as the data?</w:t>
            </w:r>
          </w:p>
        </w:tc>
        <w:tc>
          <w:tcPr>
            <w:tcW w:type="dxa" w:w="3910"/>
            <w:shd w:fill="FAFBFC"/>
            <w:vAlign w:val="center"/>
            <w:tcMar>
              <w:top w:w="80" w:type="dxa"/>
              <w:start w:w="120" w:type="dxa"/>
              <w:bottom w:w="80" w:type="dxa"/>
              <w:end w:w="120" w:type="dxa"/>
            </w:tcMar>
          </w:tcPr>
          <w:p>
            <w:pPr>
              <w:spacing w:after="0"/>
            </w:pPr>
            <w:r>
              <w:rPr>
                <w:rFonts w:ascii="Calibri" w:hAnsi="Calibri"/>
                <w:b w:val="0"/>
                <w:color w:val="000000"/>
                <w:sz w:val="17"/>
              </w:rPr>
              <w:t>Chart audit and corrected output.</w:t>
            </w:r>
          </w:p>
        </w:tc>
      </w:tr>
      <w:tr>
        <w:tc>
          <w:tcPr>
            <w:tcW w:type="dxa" w:w="1350"/>
            <w:vAlign w:val="center"/>
            <w:tcMar>
              <w:top w:w="80" w:type="dxa"/>
              <w:start w:w="120" w:type="dxa"/>
              <w:bottom w:w="80" w:type="dxa"/>
              <w:end w:w="120" w:type="dxa"/>
            </w:tcMar>
          </w:tcPr>
          <w:p>
            <w:pPr>
              <w:spacing w:after="0"/>
            </w:pPr>
            <w:r>
              <w:rPr>
                <w:rFonts w:ascii="Calibri" w:hAnsi="Calibri"/>
                <w:b w:val="0"/>
                <w:color w:val="000000"/>
                <w:sz w:val="17"/>
              </w:rPr>
              <w:t>Interpretation</w:t>
            </w:r>
          </w:p>
        </w:tc>
        <w:tc>
          <w:tcPr>
            <w:tcW w:type="dxa" w:w="4100"/>
            <w:vAlign w:val="center"/>
            <w:tcMar>
              <w:top w:w="80" w:type="dxa"/>
              <w:start w:w="120" w:type="dxa"/>
              <w:bottom w:w="80" w:type="dxa"/>
              <w:end w:w="120" w:type="dxa"/>
            </w:tcMar>
          </w:tcPr>
          <w:p>
            <w:pPr>
              <w:spacing w:after="0"/>
            </w:pPr>
            <w:r>
              <w:rPr>
                <w:rFonts w:ascii="Calibri" w:hAnsi="Calibri"/>
                <w:b w:val="0"/>
                <w:color w:val="000000"/>
                <w:sz w:val="17"/>
              </w:rPr>
              <w:t>Does the narrative distinguish evidence, inference, and limitation?</w:t>
            </w:r>
          </w:p>
        </w:tc>
        <w:tc>
          <w:tcPr>
            <w:tcW w:type="dxa" w:w="3910"/>
            <w:vAlign w:val="center"/>
            <w:tcMar>
              <w:top w:w="80" w:type="dxa"/>
              <w:start w:w="120" w:type="dxa"/>
              <w:bottom w:w="80" w:type="dxa"/>
              <w:end w:w="120" w:type="dxa"/>
            </w:tcMar>
          </w:tcPr>
          <w:p>
            <w:pPr>
              <w:spacing w:after="0"/>
            </w:pPr>
            <w:r>
              <w:rPr>
                <w:rFonts w:ascii="Calibri" w:hAnsi="Calibri"/>
                <w:b w:val="0"/>
                <w:color w:val="000000"/>
                <w:sz w:val="17"/>
              </w:rPr>
              <w:t>Cautious written conclusion.</w:t>
            </w:r>
          </w:p>
        </w:tc>
      </w:tr>
    </w:tbl>
    <w:p>
      <w:pPr>
        <w:spacing w:after="0"/>
      </w:pPr>
    </w:p>
    <w:p>
      <w:pPr>
        <w:pStyle w:val="Heading2"/>
      </w:pPr>
      <w:r>
        <w:t>Six required automatic checks</w:t>
      </w:r>
    </w:p>
    <w:p>
      <w:pPr>
        <w:pStyle w:val="ListBullet"/>
      </w:pPr>
      <w:r>
        <w:t>Revenue identity: COGS + Gross Profit = Net Sales.</w:t>
      </w:r>
    </w:p>
    <w:p>
      <w:pPr>
        <w:pStyle w:val="ListBullet"/>
      </w:pPr>
      <w:r>
        <w:t>Gross profit identity: SG&amp;A + Impairment + EBIT = Gross Profit.</w:t>
      </w:r>
    </w:p>
    <w:p>
      <w:pPr>
        <w:pStyle w:val="ListBullet"/>
      </w:pPr>
      <w:r>
        <w:t>Pretax identity: EBIT - Net Non-Operating Expense = EBT.</w:t>
      </w:r>
    </w:p>
    <w:p>
      <w:pPr>
        <w:pStyle w:val="ListBullet"/>
      </w:pPr>
      <w:r>
        <w:t>Net earnings identity: EBT - Income Taxes = Net Earnings.</w:t>
      </w:r>
    </w:p>
    <w:p>
      <w:pPr>
        <w:pStyle w:val="ListBullet"/>
      </w:pPr>
      <w:r>
        <w:t>Adjusted FCF identity: Cash FCF + Tax Act payment add-back = P&amp;G Adjusted FCF.</w:t>
      </w:r>
    </w:p>
    <w:p>
      <w:pPr>
        <w:pStyle w:val="ListBullet"/>
      </w:pPr>
      <w:r>
        <w:t>DuPont identity: product of the three factors = direct ROE.</w:t>
      </w:r>
    </w:p>
    <w:p>
      <w:pPr>
        <w:pStyle w:val="Heading2"/>
      </w:pPr>
      <w:r>
        <w:t>Required human audit narrative</w:t>
      </w:r>
    </w:p>
    <w:p>
      <w:pPr>
        <w:pStyle w:val="ListNumber"/>
      </w:pPr>
      <w:r>
        <w:t>Identify one AI-generated assumption that required human judgment.</w:t>
      </w:r>
    </w:p>
    <w:p>
      <w:pPr>
        <w:pStyle w:val="ListNumber"/>
      </w:pPr>
      <w:r>
        <w:t>Identify one place where the code could silently produce a misleading chart.</w:t>
      </w:r>
    </w:p>
    <w:p>
      <w:pPr>
        <w:pStyle w:val="ListNumber"/>
      </w:pPr>
      <w:r>
        <w:t>Describe one numerical, code, or labeling mistake your team corrected.</w:t>
      </w:r>
    </w:p>
    <w:p>
      <w:pPr>
        <w:pStyle w:val="ListNumber"/>
      </w:pPr>
      <w:r>
        <w:t>Explain why P&amp;G adjusted FCF differs from textbook FCF.</w:t>
      </w:r>
    </w:p>
    <w:p>
      <w:pPr>
        <w:pStyle w:val="ListNumber"/>
      </w:pPr>
      <w:r>
        <w:t>State whether the final dashboard is reasonable and cite at least three checks.</w:t>
      </w:r>
    </w:p>
    <w:p>
      <w:r>
        <w:br w:type="page"/>
      </w:r>
    </w:p>
    <w:p>
      <w:pPr>
        <w:pStyle w:val="Heading1"/>
      </w:pPr>
      <w:r>
        <w:t>15. Required Deliverables</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1900"/>
        <w:gridCol w:w="2800"/>
        <w:gridCol w:w="4660"/>
      </w:tblGrid>
      <w:tr>
        <w:trPr>
          <w:tblHeader w:val="true"/>
        </w:trPr>
        <w:tc>
          <w:tcPr>
            <w:tcW w:type="dxa" w:w="1900"/>
            <w:vAlign w:val="center"/>
            <w:tcMar>
              <w:top w:w="80" w:type="dxa"/>
              <w:start w:w="120" w:type="dxa"/>
              <w:bottom w:w="80" w:type="dxa"/>
              <w:end w:w="120" w:type="dxa"/>
            </w:tcMar>
            <w:shd w:fill="E8EEF5"/>
          </w:tcPr>
          <w:p>
            <w:pPr>
              <w:spacing w:after="0"/>
            </w:pPr>
            <w:r>
              <w:rPr>
                <w:rFonts w:ascii="Calibri" w:hAnsi="Calibri"/>
                <w:b/>
                <w:color w:val="0B2545"/>
                <w:sz w:val="17"/>
              </w:rPr>
              <w:t>Deliverable</w:t>
            </w:r>
          </w:p>
        </w:tc>
        <w:tc>
          <w:tcPr>
            <w:tcW w:type="dxa" w:w="2800"/>
            <w:vAlign w:val="center"/>
            <w:tcMar>
              <w:top w:w="80" w:type="dxa"/>
              <w:start w:w="120" w:type="dxa"/>
              <w:bottom w:w="80" w:type="dxa"/>
              <w:end w:w="120" w:type="dxa"/>
            </w:tcMar>
            <w:shd w:fill="E8EEF5"/>
          </w:tcPr>
          <w:p>
            <w:pPr>
              <w:spacing w:after="0"/>
            </w:pPr>
            <w:r>
              <w:rPr>
                <w:rFonts w:ascii="Calibri" w:hAnsi="Calibri"/>
                <w:b/>
                <w:color w:val="0B2545"/>
                <w:sz w:val="17"/>
              </w:rPr>
              <w:t>File or format</w:t>
            </w:r>
          </w:p>
        </w:tc>
        <w:tc>
          <w:tcPr>
            <w:tcW w:type="dxa" w:w="4660"/>
            <w:vAlign w:val="center"/>
            <w:tcMar>
              <w:top w:w="80" w:type="dxa"/>
              <w:start w:w="120" w:type="dxa"/>
              <w:bottom w:w="80" w:type="dxa"/>
              <w:end w:w="120" w:type="dxa"/>
            </w:tcMar>
            <w:shd w:fill="E8EEF5"/>
          </w:tcPr>
          <w:p>
            <w:pPr>
              <w:spacing w:after="0"/>
            </w:pPr>
            <w:r>
              <w:rPr>
                <w:rFonts w:ascii="Calibri" w:hAnsi="Calibri"/>
                <w:b/>
                <w:color w:val="0B2545"/>
                <w:sz w:val="17"/>
              </w:rPr>
              <w:t>Acceptance standard</w:t>
            </w:r>
          </w:p>
        </w:tc>
      </w:tr>
      <w:tr>
        <w:tc>
          <w:tcPr>
            <w:tcW w:type="dxa" w:w="1900"/>
            <w:vAlign w:val="center"/>
            <w:tcMar>
              <w:top w:w="80" w:type="dxa"/>
              <w:start w:w="120" w:type="dxa"/>
              <w:bottom w:w="80" w:type="dxa"/>
              <w:end w:w="120" w:type="dxa"/>
            </w:tcMar>
          </w:tcPr>
          <w:p>
            <w:pPr>
              <w:spacing w:after="0"/>
            </w:pPr>
            <w:r>
              <w:rPr>
                <w:rFonts w:ascii="Calibri" w:hAnsi="Calibri"/>
                <w:b w:val="0"/>
                <w:color w:val="000000"/>
                <w:sz w:val="17"/>
              </w:rPr>
              <w:t>Completed workbook</w:t>
            </w:r>
          </w:p>
        </w:tc>
        <w:tc>
          <w:tcPr>
            <w:tcW w:type="dxa" w:w="2800"/>
            <w:vAlign w:val="center"/>
            <w:tcMar>
              <w:top w:w="80" w:type="dxa"/>
              <w:start w:w="120" w:type="dxa"/>
              <w:bottom w:w="80" w:type="dxa"/>
              <w:end w:w="120" w:type="dxa"/>
            </w:tcMar>
          </w:tcPr>
          <w:p>
            <w:pPr>
              <w:spacing w:after="0"/>
            </w:pPr>
            <w:r>
              <w:rPr>
                <w:rFonts w:ascii="Calibri" w:hAnsi="Calibri"/>
                <w:b w:val="0"/>
                <w:color w:val="000000"/>
                <w:sz w:val="17"/>
              </w:rPr>
              <w:t>PG_FinancialStory_Student.xlsx</w:t>
            </w:r>
          </w:p>
        </w:tc>
        <w:tc>
          <w:tcPr>
            <w:tcW w:type="dxa" w:w="4660"/>
            <w:vAlign w:val="center"/>
            <w:tcMar>
              <w:top w:w="80" w:type="dxa"/>
              <w:start w:w="120" w:type="dxa"/>
              <w:bottom w:w="80" w:type="dxa"/>
              <w:end w:w="120" w:type="dxa"/>
            </w:tcMar>
          </w:tcPr>
          <w:p>
            <w:pPr>
              <w:spacing w:after="0"/>
            </w:pPr>
            <w:r>
              <w:rPr>
                <w:rFonts w:ascii="Calibri" w:hAnsi="Calibri"/>
                <w:b w:val="0"/>
                <w:color w:val="000000"/>
                <w:sz w:val="17"/>
              </w:rPr>
              <w:t>Yellow response/calculation cells complete; formulas and sources retained.</w:t>
            </w:r>
          </w:p>
        </w:tc>
      </w:tr>
      <w:tr>
        <w:tc>
          <w:tcPr>
            <w:tcW w:type="dxa" w:w="1900"/>
            <w:shd w:fill="FAFBFC"/>
            <w:vAlign w:val="center"/>
            <w:tcMar>
              <w:top w:w="80" w:type="dxa"/>
              <w:start w:w="120" w:type="dxa"/>
              <w:bottom w:w="80" w:type="dxa"/>
              <w:end w:w="120" w:type="dxa"/>
            </w:tcMar>
          </w:tcPr>
          <w:p>
            <w:pPr>
              <w:spacing w:after="0"/>
            </w:pPr>
            <w:r>
              <w:rPr>
                <w:rFonts w:ascii="Calibri" w:hAnsi="Calibri"/>
                <w:b w:val="0"/>
                <w:color w:val="000000"/>
                <w:sz w:val="17"/>
              </w:rPr>
              <w:t>Executable program</w:t>
            </w:r>
          </w:p>
        </w:tc>
        <w:tc>
          <w:tcPr>
            <w:tcW w:type="dxa" w:w="2800"/>
            <w:shd w:fill="FAFBFC"/>
            <w:vAlign w:val="center"/>
            <w:tcMar>
              <w:top w:w="80" w:type="dxa"/>
              <w:start w:w="120" w:type="dxa"/>
              <w:bottom w:w="80" w:type="dxa"/>
              <w:end w:w="120" w:type="dxa"/>
            </w:tcMar>
          </w:tcPr>
          <w:p>
            <w:pPr>
              <w:spacing w:after="0"/>
            </w:pPr>
            <w:r>
              <w:rPr>
                <w:rFonts w:ascii="Calibri" w:hAnsi="Calibri"/>
                <w:b w:val="0"/>
                <w:color w:val="000000"/>
                <w:sz w:val="17"/>
              </w:rPr>
              <w:t>pg_financial_story.py</w:t>
            </w:r>
          </w:p>
        </w:tc>
        <w:tc>
          <w:tcPr>
            <w:tcW w:type="dxa" w:w="4660"/>
            <w:shd w:fill="FAFBFC"/>
            <w:vAlign w:val="center"/>
            <w:tcMar>
              <w:top w:w="80" w:type="dxa"/>
              <w:start w:w="120" w:type="dxa"/>
              <w:bottom w:w="80" w:type="dxa"/>
              <w:end w:w="120" w:type="dxa"/>
            </w:tcMar>
          </w:tcPr>
          <w:p>
            <w:pPr>
              <w:spacing w:after="0"/>
            </w:pPr>
            <w:r>
              <w:rPr>
                <w:rFonts w:ascii="Calibri" w:hAnsi="Calibri"/>
                <w:b w:val="0"/>
                <w:color w:val="000000"/>
                <w:sz w:val="17"/>
              </w:rPr>
              <w:t>Runs from the submitted folder with relative/command-line paths.</w:t>
            </w:r>
          </w:p>
        </w:tc>
      </w:tr>
      <w:tr>
        <w:tc>
          <w:tcPr>
            <w:tcW w:type="dxa" w:w="1900"/>
            <w:vAlign w:val="center"/>
            <w:tcMar>
              <w:top w:w="80" w:type="dxa"/>
              <w:start w:w="120" w:type="dxa"/>
              <w:bottom w:w="80" w:type="dxa"/>
              <w:end w:w="120" w:type="dxa"/>
            </w:tcMar>
          </w:tcPr>
          <w:p>
            <w:pPr>
              <w:spacing w:after="0"/>
            </w:pPr>
            <w:r>
              <w:rPr>
                <w:rFonts w:ascii="Calibri" w:hAnsi="Calibri"/>
                <w:b w:val="0"/>
                <w:color w:val="000000"/>
                <w:sz w:val="17"/>
              </w:rPr>
              <w:t>Four visuals</w:t>
            </w:r>
          </w:p>
        </w:tc>
        <w:tc>
          <w:tcPr>
            <w:tcW w:type="dxa" w:w="2800"/>
            <w:vAlign w:val="center"/>
            <w:tcMar>
              <w:top w:w="80" w:type="dxa"/>
              <w:start w:w="120" w:type="dxa"/>
              <w:bottom w:w="80" w:type="dxa"/>
              <w:end w:w="120" w:type="dxa"/>
            </w:tcMar>
          </w:tcPr>
          <w:p>
            <w:pPr>
              <w:spacing w:after="0"/>
            </w:pPr>
            <w:r>
              <w:rPr>
                <w:rFonts w:ascii="Calibri" w:hAnsi="Calibri"/>
                <w:b w:val="0"/>
                <w:color w:val="000000"/>
                <w:sz w:val="17"/>
              </w:rPr>
              <w:t>Four PNG files</w:t>
            </w:r>
          </w:p>
        </w:tc>
        <w:tc>
          <w:tcPr>
            <w:tcW w:type="dxa" w:w="4660"/>
            <w:vAlign w:val="center"/>
            <w:tcMar>
              <w:top w:w="80" w:type="dxa"/>
              <w:start w:w="120" w:type="dxa"/>
              <w:bottom w:w="80" w:type="dxa"/>
              <w:end w:w="120" w:type="dxa"/>
            </w:tcMar>
          </w:tcPr>
          <w:p>
            <w:pPr>
              <w:spacing w:after="0"/>
            </w:pPr>
            <w:r>
              <w:rPr>
                <w:rFonts w:ascii="Calibri" w:hAnsi="Calibri"/>
                <w:b w:val="0"/>
                <w:color w:val="000000"/>
                <w:sz w:val="17"/>
              </w:rPr>
              <w:t>Required labels, proportional encodings, and source notes.</w:t>
            </w:r>
          </w:p>
        </w:tc>
      </w:tr>
      <w:tr>
        <w:tc>
          <w:tcPr>
            <w:tcW w:type="dxa" w:w="1900"/>
            <w:shd w:fill="FAFBFC"/>
            <w:vAlign w:val="center"/>
            <w:tcMar>
              <w:top w:w="80" w:type="dxa"/>
              <w:start w:w="120" w:type="dxa"/>
              <w:bottom w:w="80" w:type="dxa"/>
              <w:end w:w="120" w:type="dxa"/>
            </w:tcMar>
          </w:tcPr>
          <w:p>
            <w:pPr>
              <w:spacing w:after="0"/>
            </w:pPr>
            <w:r>
              <w:rPr>
                <w:rFonts w:ascii="Calibri" w:hAnsi="Calibri"/>
                <w:b w:val="0"/>
                <w:color w:val="000000"/>
                <w:sz w:val="17"/>
              </w:rPr>
              <w:t>Combined dashboard</w:t>
            </w:r>
          </w:p>
        </w:tc>
        <w:tc>
          <w:tcPr>
            <w:tcW w:type="dxa" w:w="2800"/>
            <w:shd w:fill="FAFBFC"/>
            <w:vAlign w:val="center"/>
            <w:tcMar>
              <w:top w:w="80" w:type="dxa"/>
              <w:start w:w="120" w:type="dxa"/>
              <w:bottom w:w="80" w:type="dxa"/>
              <w:end w:w="120" w:type="dxa"/>
            </w:tcMar>
          </w:tcPr>
          <w:p>
            <w:pPr>
              <w:spacing w:after="0"/>
            </w:pPr>
            <w:r>
              <w:rPr>
                <w:rFonts w:ascii="Calibri" w:hAnsi="Calibri"/>
                <w:b w:val="0"/>
                <w:color w:val="000000"/>
                <w:sz w:val="17"/>
              </w:rPr>
              <w:t>One PNG</w:t>
            </w:r>
          </w:p>
        </w:tc>
        <w:tc>
          <w:tcPr>
            <w:tcW w:type="dxa" w:w="4660"/>
            <w:shd w:fill="FAFBFC"/>
            <w:vAlign w:val="center"/>
            <w:tcMar>
              <w:top w:w="80" w:type="dxa"/>
              <w:start w:w="120" w:type="dxa"/>
              <w:bottom w:w="80" w:type="dxa"/>
              <w:end w:w="120" w:type="dxa"/>
            </w:tcMar>
          </w:tcPr>
          <w:p>
            <w:pPr>
              <w:spacing w:after="0"/>
            </w:pPr>
            <w:r>
              <w:rPr>
                <w:rFonts w:ascii="Calibri" w:hAnsi="Calibri"/>
                <w:b w:val="0"/>
                <w:color w:val="000000"/>
                <w:sz w:val="17"/>
              </w:rPr>
              <w:t>All four visuals are legible on one page.</w:t>
            </w:r>
          </w:p>
        </w:tc>
      </w:tr>
      <w:tr>
        <w:tc>
          <w:tcPr>
            <w:tcW w:type="dxa" w:w="1900"/>
            <w:vAlign w:val="center"/>
            <w:tcMar>
              <w:top w:w="80" w:type="dxa"/>
              <w:start w:w="120" w:type="dxa"/>
              <w:bottom w:w="80" w:type="dxa"/>
              <w:end w:w="120" w:type="dxa"/>
            </w:tcMar>
          </w:tcPr>
          <w:p>
            <w:pPr>
              <w:spacing w:after="0"/>
            </w:pPr>
            <w:r>
              <w:rPr>
                <w:rFonts w:ascii="Calibri" w:hAnsi="Calibri"/>
                <w:b w:val="0"/>
                <w:color w:val="000000"/>
                <w:sz w:val="17"/>
              </w:rPr>
              <w:t>Sanity-check log</w:t>
            </w:r>
          </w:p>
        </w:tc>
        <w:tc>
          <w:tcPr>
            <w:tcW w:type="dxa" w:w="2800"/>
            <w:vAlign w:val="center"/>
            <w:tcMar>
              <w:top w:w="80" w:type="dxa"/>
              <w:start w:w="120" w:type="dxa"/>
              <w:bottom w:w="80" w:type="dxa"/>
              <w:end w:w="120" w:type="dxa"/>
            </w:tcMar>
          </w:tcPr>
          <w:p>
            <w:pPr>
              <w:spacing w:after="0"/>
            </w:pPr>
            <w:r>
              <w:rPr>
                <w:rFonts w:ascii="Calibri" w:hAnsi="Calibri"/>
                <w:b w:val="0"/>
                <w:color w:val="000000"/>
                <w:sz w:val="17"/>
              </w:rPr>
              <w:t>CSV plus 07_AI_Verification</w:t>
            </w:r>
          </w:p>
        </w:tc>
        <w:tc>
          <w:tcPr>
            <w:tcW w:type="dxa" w:w="4660"/>
            <w:vAlign w:val="center"/>
            <w:tcMar>
              <w:top w:w="80" w:type="dxa"/>
              <w:start w:w="120" w:type="dxa"/>
              <w:bottom w:w="80" w:type="dxa"/>
              <w:end w:w="120" w:type="dxa"/>
            </w:tcMar>
          </w:tcPr>
          <w:p>
            <w:pPr>
              <w:spacing w:after="0"/>
            </w:pPr>
            <w:r>
              <w:rPr>
                <w:rFonts w:ascii="Calibri" w:hAnsi="Calibri"/>
                <w:b w:val="0"/>
                <w:color w:val="000000"/>
                <w:sz w:val="17"/>
              </w:rPr>
              <w:t>All required checks pass with formulas and evidence.</w:t>
            </w:r>
          </w:p>
        </w:tc>
      </w:tr>
      <w:tr>
        <w:tc>
          <w:tcPr>
            <w:tcW w:type="dxa" w:w="1900"/>
            <w:shd w:fill="FAFBFC"/>
            <w:vAlign w:val="center"/>
            <w:tcMar>
              <w:top w:w="80" w:type="dxa"/>
              <w:start w:w="120" w:type="dxa"/>
              <w:bottom w:w="80" w:type="dxa"/>
              <w:end w:w="120" w:type="dxa"/>
            </w:tcMar>
          </w:tcPr>
          <w:p>
            <w:pPr>
              <w:spacing w:after="0"/>
            </w:pPr>
            <w:r>
              <w:rPr>
                <w:rFonts w:ascii="Calibri" w:hAnsi="Calibri"/>
                <w:b w:val="0"/>
                <w:color w:val="000000"/>
                <w:sz w:val="17"/>
              </w:rPr>
              <w:t>AI documentation</w:t>
            </w:r>
          </w:p>
        </w:tc>
        <w:tc>
          <w:tcPr>
            <w:tcW w:type="dxa" w:w="2800"/>
            <w:shd w:fill="FAFBFC"/>
            <w:vAlign w:val="center"/>
            <w:tcMar>
              <w:top w:w="80" w:type="dxa"/>
              <w:start w:w="120" w:type="dxa"/>
              <w:bottom w:w="80" w:type="dxa"/>
              <w:end w:w="120" w:type="dxa"/>
            </w:tcMar>
          </w:tcPr>
          <w:p>
            <w:pPr>
              <w:spacing w:after="0"/>
            </w:pPr>
            <w:r>
              <w:rPr>
                <w:rFonts w:ascii="Calibri" w:hAnsi="Calibri"/>
                <w:b w:val="0"/>
                <w:color w:val="000000"/>
                <w:sz w:val="17"/>
              </w:rPr>
              <w:t>Prompt history and REM block</w:t>
            </w:r>
          </w:p>
        </w:tc>
        <w:tc>
          <w:tcPr>
            <w:tcW w:type="dxa" w:w="4660"/>
            <w:shd w:fill="FAFBFC"/>
            <w:vAlign w:val="center"/>
            <w:tcMar>
              <w:top w:w="80" w:type="dxa"/>
              <w:start w:w="120" w:type="dxa"/>
              <w:bottom w:w="80" w:type="dxa"/>
              <w:end w:w="120" w:type="dxa"/>
            </w:tcMar>
          </w:tcPr>
          <w:p>
            <w:pPr>
              <w:spacing w:after="0"/>
            </w:pPr>
            <w:r>
              <w:rPr>
                <w:rFonts w:ascii="Calibri" w:hAnsi="Calibri"/>
                <w:b w:val="0"/>
                <w:color w:val="000000"/>
                <w:sz w:val="17"/>
              </w:rPr>
              <w:t>Exact prompts, equations, method, limitations, and follow-ups.</w:t>
            </w:r>
          </w:p>
        </w:tc>
      </w:tr>
      <w:tr>
        <w:tc>
          <w:tcPr>
            <w:tcW w:type="dxa" w:w="1900"/>
            <w:vAlign w:val="center"/>
            <w:tcMar>
              <w:top w:w="80" w:type="dxa"/>
              <w:start w:w="120" w:type="dxa"/>
              <w:bottom w:w="80" w:type="dxa"/>
              <w:end w:w="120" w:type="dxa"/>
            </w:tcMar>
          </w:tcPr>
          <w:p>
            <w:pPr>
              <w:spacing w:after="0"/>
            </w:pPr>
            <w:r>
              <w:rPr>
                <w:rFonts w:ascii="Calibri" w:hAnsi="Calibri"/>
                <w:b w:val="0"/>
                <w:color w:val="000000"/>
                <w:sz w:val="17"/>
              </w:rPr>
              <w:t>Annotated code</w:t>
            </w:r>
          </w:p>
        </w:tc>
        <w:tc>
          <w:tcPr>
            <w:tcW w:type="dxa" w:w="2800"/>
            <w:vAlign w:val="center"/>
            <w:tcMar>
              <w:top w:w="80" w:type="dxa"/>
              <w:start w:w="120" w:type="dxa"/>
              <w:bottom w:w="80" w:type="dxa"/>
              <w:end w:w="120" w:type="dxa"/>
            </w:tcMar>
          </w:tcPr>
          <w:p>
            <w:pPr>
              <w:spacing w:after="0"/>
            </w:pPr>
            <w:r>
              <w:rPr>
                <w:rFonts w:ascii="Calibri" w:hAnsi="Calibri"/>
                <w:b w:val="0"/>
                <w:color w:val="000000"/>
                <w:sz w:val="17"/>
              </w:rPr>
              <w:t>Complete printed code or commented PDF/Word</w:t>
            </w:r>
          </w:p>
        </w:tc>
        <w:tc>
          <w:tcPr>
            <w:tcW w:type="dxa" w:w="4660"/>
            <w:vAlign w:val="center"/>
            <w:tcMar>
              <w:top w:w="80" w:type="dxa"/>
              <w:start w:w="120" w:type="dxa"/>
              <w:bottom w:w="80" w:type="dxa"/>
              <w:end w:w="120" w:type="dxa"/>
            </w:tcMar>
          </w:tcPr>
          <w:p>
            <w:pPr>
              <w:spacing w:after="0"/>
            </w:pPr>
            <w:r>
              <w:rPr>
                <w:rFonts w:ascii="Calibri" w:hAnsi="Calibri"/>
                <w:b w:val="0"/>
                <w:color w:val="000000"/>
                <w:sz w:val="17"/>
              </w:rPr>
              <w:t>Inputs, calculations, outputs, and failure risk identified for each major function.</w:t>
            </w:r>
          </w:p>
        </w:tc>
      </w:tr>
      <w:tr>
        <w:tc>
          <w:tcPr>
            <w:tcW w:type="dxa" w:w="1900"/>
            <w:shd w:fill="FAFBFC"/>
            <w:vAlign w:val="center"/>
            <w:tcMar>
              <w:top w:w="80" w:type="dxa"/>
              <w:start w:w="120" w:type="dxa"/>
              <w:bottom w:w="80" w:type="dxa"/>
              <w:end w:w="120" w:type="dxa"/>
            </w:tcMar>
          </w:tcPr>
          <w:p>
            <w:pPr>
              <w:spacing w:after="0"/>
            </w:pPr>
            <w:r>
              <w:rPr>
                <w:rFonts w:ascii="Calibri" w:hAnsi="Calibri"/>
                <w:b w:val="0"/>
                <w:color w:val="000000"/>
                <w:sz w:val="17"/>
              </w:rPr>
              <w:t>Financial interpretation</w:t>
            </w:r>
          </w:p>
        </w:tc>
        <w:tc>
          <w:tcPr>
            <w:tcW w:type="dxa" w:w="2800"/>
            <w:shd w:fill="FAFBFC"/>
            <w:vAlign w:val="center"/>
            <w:tcMar>
              <w:top w:w="80" w:type="dxa"/>
              <w:start w:w="120" w:type="dxa"/>
              <w:bottom w:w="80" w:type="dxa"/>
              <w:end w:w="120" w:type="dxa"/>
            </w:tcMar>
          </w:tcPr>
          <w:p>
            <w:pPr>
              <w:spacing w:after="0"/>
            </w:pPr>
            <w:r>
              <w:rPr>
                <w:rFonts w:ascii="Calibri" w:hAnsi="Calibri"/>
                <w:b w:val="0"/>
                <w:color w:val="000000"/>
                <w:sz w:val="17"/>
              </w:rPr>
              <w:t>Two pages maximum</w:t>
            </w:r>
          </w:p>
        </w:tc>
        <w:tc>
          <w:tcPr>
            <w:tcW w:type="dxa" w:w="4660"/>
            <w:shd w:fill="FAFBFC"/>
            <w:vAlign w:val="center"/>
            <w:tcMar>
              <w:top w:w="80" w:type="dxa"/>
              <w:start w:w="120" w:type="dxa"/>
              <w:bottom w:w="80" w:type="dxa"/>
              <w:end w:w="120" w:type="dxa"/>
            </w:tcMar>
          </w:tcPr>
          <w:p>
            <w:pPr>
              <w:spacing w:after="0"/>
            </w:pPr>
            <w:r>
              <w:rPr>
                <w:rFonts w:ascii="Calibri" w:hAnsi="Calibri"/>
                <w:b w:val="0"/>
                <w:color w:val="000000"/>
                <w:sz w:val="17"/>
              </w:rPr>
              <w:t>One integrated story with evidence, inference, and limitation.</w:t>
            </w:r>
          </w:p>
        </w:tc>
      </w:tr>
      <w:tr>
        <w:tc>
          <w:tcPr>
            <w:tcW w:type="dxa" w:w="1900"/>
            <w:vAlign w:val="center"/>
            <w:tcMar>
              <w:top w:w="80" w:type="dxa"/>
              <w:start w:w="120" w:type="dxa"/>
              <w:bottom w:w="80" w:type="dxa"/>
              <w:end w:w="120" w:type="dxa"/>
            </w:tcMar>
          </w:tcPr>
          <w:p>
            <w:pPr>
              <w:spacing w:after="0"/>
            </w:pPr>
            <w:r>
              <w:rPr>
                <w:rFonts w:ascii="Calibri" w:hAnsi="Calibri"/>
                <w:b w:val="0"/>
                <w:color w:val="000000"/>
                <w:sz w:val="17"/>
              </w:rPr>
              <w:t>Presentation</w:t>
            </w:r>
          </w:p>
        </w:tc>
        <w:tc>
          <w:tcPr>
            <w:tcW w:type="dxa" w:w="2800"/>
            <w:vAlign w:val="center"/>
            <w:tcMar>
              <w:top w:w="80" w:type="dxa"/>
              <w:start w:w="120" w:type="dxa"/>
              <w:bottom w:w="80" w:type="dxa"/>
              <w:end w:w="120" w:type="dxa"/>
            </w:tcMar>
          </w:tcPr>
          <w:p>
            <w:pPr>
              <w:spacing w:after="0"/>
            </w:pPr>
            <w:r>
              <w:rPr>
                <w:rFonts w:ascii="Calibri" w:hAnsi="Calibri"/>
                <w:b w:val="0"/>
                <w:color w:val="000000"/>
                <w:sz w:val="17"/>
              </w:rPr>
              <w:t>Five minutes</w:t>
            </w:r>
          </w:p>
        </w:tc>
        <w:tc>
          <w:tcPr>
            <w:tcW w:type="dxa" w:w="4660"/>
            <w:vAlign w:val="center"/>
            <w:tcMar>
              <w:top w:w="80" w:type="dxa"/>
              <w:start w:w="120" w:type="dxa"/>
              <w:bottom w:w="80" w:type="dxa"/>
              <w:end w:w="120" w:type="dxa"/>
            </w:tcMar>
          </w:tcPr>
          <w:p>
            <w:pPr>
              <w:spacing w:after="0"/>
            </w:pPr>
            <w:r>
              <w:rPr>
                <w:rFonts w:ascii="Calibri" w:hAnsi="Calibri"/>
                <w:b w:val="0"/>
                <w:color w:val="000000"/>
                <w:sz w:val="17"/>
              </w:rPr>
              <w:t>Every member participates and answers questions.</w:t>
            </w:r>
          </w:p>
        </w:tc>
      </w:tr>
    </w:tbl>
    <w:p>
      <w:pPr>
        <w:spacing w:after="0"/>
      </w:pPr>
    </w:p>
    <w:tbl>
      <w:tblPr>
        <w:tblW w:type="dxa" w:w="9360"/>
        <w:jc w:val="left"/>
        <w:tblLayout w:type="fixed"/>
        <w:tblLook w:firstColumn="1" w:firstRow="1" w:lastColumn="0" w:lastRow="0" w:noHBand="0" w:noVBand="1" w:val="04A0"/>
        <w:tblInd w:w="120" w:type="dxa"/>
        <w:tblBorders>
          <w:top w:val="single" w:sz="1" w:space="0" w:color="E9F5EC"/>
          <w:left w:val="single" w:sz="1" w:space="0" w:color="E9F5EC"/>
          <w:bottom w:val="single" w:sz="1" w:space="0" w:color="E9F5EC"/>
          <w:right w:val="single" w:sz="1" w:space="0" w:color="E9F5EC"/>
          <w:insideH w:val="single" w:sz="1" w:space="0" w:color="E9F5EC"/>
          <w:insideV w:val="single" w:sz="1" w:space="0" w:color="E9F5EC"/>
        </w:tblBorders>
      </w:tblPr>
      <w:tblGrid>
        <w:gridCol w:w="9360"/>
      </w:tblGrid>
      <w:tr>
        <w:tc>
          <w:tcPr>
            <w:tcW w:type="dxa" w:w="9360"/>
            <w:vAlign w:val="center"/>
            <w:tcMar>
              <w:top w:w="80" w:type="dxa"/>
              <w:start w:w="120" w:type="dxa"/>
              <w:bottom w:w="80" w:type="dxa"/>
              <w:end w:w="120" w:type="dxa"/>
            </w:tcMar>
            <w:shd w:fill="E9F5EC"/>
          </w:tcPr>
          <w:p>
            <w:pPr>
              <w:spacing w:after="0"/>
            </w:pPr>
            <w:r>
              <w:rPr>
                <w:rFonts w:ascii="Calibri" w:hAnsi="Calibri"/>
                <w:b/>
                <w:color w:val="25633D"/>
                <w:sz w:val="21"/>
              </w:rPr>
              <w:t xml:space="preserve">File test: </w:t>
            </w:r>
            <w:r>
              <w:rPr>
                <w:rFonts w:ascii="Calibri" w:hAnsi="Calibri"/>
                <w:color w:val="000000"/>
                <w:sz w:val="21"/>
              </w:rPr>
              <w:t>Before submitting, copy the package to a different folder and run the exact command another person would use.</w:t>
            </w:r>
          </w:p>
        </w:tc>
      </w:tr>
    </w:tbl>
    <w:p>
      <w:pPr>
        <w:spacing w:after="0"/>
      </w:pPr>
    </w:p>
    <w:p>
      <w:pPr>
        <w:pStyle w:val="Heading1"/>
      </w:pPr>
      <w:r>
        <w:t>16. Presentation Expectations</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1500"/>
        <w:gridCol w:w="2600"/>
        <w:gridCol w:w="5260"/>
      </w:tblGrid>
      <w:tr>
        <w:trPr>
          <w:tblHeader w:val="true"/>
        </w:trPr>
        <w:tc>
          <w:tcPr>
            <w:tcW w:type="dxa" w:w="1500"/>
            <w:vAlign w:val="center"/>
            <w:tcMar>
              <w:top w:w="80" w:type="dxa"/>
              <w:start w:w="120" w:type="dxa"/>
              <w:bottom w:w="80" w:type="dxa"/>
              <w:end w:w="120" w:type="dxa"/>
            </w:tcMar>
            <w:shd w:fill="E8EEF5"/>
          </w:tcPr>
          <w:p>
            <w:pPr>
              <w:spacing w:after="0"/>
            </w:pPr>
            <w:r>
              <w:rPr>
                <w:rFonts w:ascii="Calibri" w:hAnsi="Calibri"/>
                <w:b/>
                <w:color w:val="0B2545"/>
                <w:sz w:val="18"/>
              </w:rPr>
              <w:t>Time</w:t>
            </w:r>
          </w:p>
        </w:tc>
        <w:tc>
          <w:tcPr>
            <w:tcW w:type="dxa" w:w="2600"/>
            <w:vAlign w:val="center"/>
            <w:tcMar>
              <w:top w:w="80" w:type="dxa"/>
              <w:start w:w="120" w:type="dxa"/>
              <w:bottom w:w="80" w:type="dxa"/>
              <w:end w:w="120" w:type="dxa"/>
            </w:tcMar>
            <w:shd w:fill="E8EEF5"/>
          </w:tcPr>
          <w:p>
            <w:pPr>
              <w:spacing w:after="0"/>
            </w:pPr>
            <w:r>
              <w:rPr>
                <w:rFonts w:ascii="Calibri" w:hAnsi="Calibri"/>
                <w:b/>
                <w:color w:val="0B2545"/>
                <w:sz w:val="18"/>
              </w:rPr>
              <w:t>Content</w:t>
            </w:r>
          </w:p>
        </w:tc>
        <w:tc>
          <w:tcPr>
            <w:tcW w:type="dxa" w:w="5260"/>
            <w:vAlign w:val="center"/>
            <w:tcMar>
              <w:top w:w="80" w:type="dxa"/>
              <w:start w:w="120" w:type="dxa"/>
              <w:bottom w:w="80" w:type="dxa"/>
              <w:end w:w="120" w:type="dxa"/>
            </w:tcMar>
            <w:shd w:fill="E8EEF5"/>
          </w:tcPr>
          <w:p>
            <w:pPr>
              <w:spacing w:after="0"/>
            </w:pPr>
            <w:r>
              <w:rPr>
                <w:rFonts w:ascii="Calibri" w:hAnsi="Calibri"/>
                <w:b/>
                <w:color w:val="0B2545"/>
                <w:sz w:val="18"/>
              </w:rPr>
              <w:t>Required message</w:t>
            </w:r>
          </w:p>
        </w:tc>
      </w:tr>
      <w:tr>
        <w:tc>
          <w:tcPr>
            <w:tcW w:type="dxa" w:w="1500"/>
            <w:vAlign w:val="center"/>
            <w:tcMar>
              <w:top w:w="80" w:type="dxa"/>
              <w:start w:w="120" w:type="dxa"/>
              <w:bottom w:w="80" w:type="dxa"/>
              <w:end w:w="120" w:type="dxa"/>
            </w:tcMar>
          </w:tcPr>
          <w:p>
            <w:pPr>
              <w:spacing w:after="0"/>
            </w:pPr>
            <w:r>
              <w:rPr>
                <w:rFonts w:ascii="Calibri" w:hAnsi="Calibri"/>
                <w:b w:val="0"/>
                <w:color w:val="000000"/>
                <w:sz w:val="18"/>
              </w:rPr>
              <w:t>0:00-0:30</w:t>
            </w:r>
          </w:p>
        </w:tc>
        <w:tc>
          <w:tcPr>
            <w:tcW w:type="dxa" w:w="2600"/>
            <w:vAlign w:val="center"/>
            <w:tcMar>
              <w:top w:w="80" w:type="dxa"/>
              <w:start w:w="120" w:type="dxa"/>
              <w:bottom w:w="80" w:type="dxa"/>
              <w:end w:w="120" w:type="dxa"/>
            </w:tcMar>
          </w:tcPr>
          <w:p>
            <w:pPr>
              <w:spacing w:after="0"/>
            </w:pPr>
            <w:r>
              <w:rPr>
                <w:rFonts w:ascii="Calibri" w:hAnsi="Calibri"/>
                <w:b w:val="0"/>
                <w:color w:val="000000"/>
                <w:sz w:val="18"/>
              </w:rPr>
              <w:t>Thesis</w:t>
            </w:r>
          </w:p>
        </w:tc>
        <w:tc>
          <w:tcPr>
            <w:tcW w:type="dxa" w:w="5260"/>
            <w:vAlign w:val="center"/>
            <w:tcMar>
              <w:top w:w="80" w:type="dxa"/>
              <w:start w:w="120" w:type="dxa"/>
              <w:bottom w:w="80" w:type="dxa"/>
              <w:end w:w="120" w:type="dxa"/>
            </w:tcMar>
          </w:tcPr>
          <w:p>
            <w:pPr>
              <w:spacing w:after="0"/>
            </w:pPr>
            <w:r>
              <w:rPr>
                <w:rFonts w:ascii="Calibri" w:hAnsi="Calibri"/>
                <w:b w:val="0"/>
                <w:color w:val="000000"/>
                <w:sz w:val="18"/>
              </w:rPr>
              <w:t>State the most important conclusion from the dashboard.</w:t>
            </w:r>
          </w:p>
        </w:tc>
      </w:tr>
      <w:tr>
        <w:tc>
          <w:tcPr>
            <w:tcW w:type="dxa" w:w="1500"/>
            <w:shd w:fill="FAFBFC"/>
            <w:vAlign w:val="center"/>
            <w:tcMar>
              <w:top w:w="80" w:type="dxa"/>
              <w:start w:w="120" w:type="dxa"/>
              <w:bottom w:w="80" w:type="dxa"/>
              <w:end w:w="120" w:type="dxa"/>
            </w:tcMar>
          </w:tcPr>
          <w:p>
            <w:pPr>
              <w:spacing w:after="0"/>
            </w:pPr>
            <w:r>
              <w:rPr>
                <w:rFonts w:ascii="Calibri" w:hAnsi="Calibri"/>
                <w:b w:val="0"/>
                <w:color w:val="000000"/>
                <w:sz w:val="18"/>
              </w:rPr>
              <w:t>0:30-1:30</w:t>
            </w:r>
          </w:p>
        </w:tc>
        <w:tc>
          <w:tcPr>
            <w:tcW w:type="dxa" w:w="2600"/>
            <w:shd w:fill="FAFBFC"/>
            <w:vAlign w:val="center"/>
            <w:tcMar>
              <w:top w:w="80" w:type="dxa"/>
              <w:start w:w="120" w:type="dxa"/>
              <w:bottom w:w="80" w:type="dxa"/>
              <w:end w:w="120" w:type="dxa"/>
            </w:tcMar>
          </w:tcPr>
          <w:p>
            <w:pPr>
              <w:spacing w:after="0"/>
            </w:pPr>
            <w:r>
              <w:rPr>
                <w:rFonts w:ascii="Calibri" w:hAnsi="Calibri"/>
                <w:b w:val="0"/>
                <w:color w:val="000000"/>
                <w:sz w:val="18"/>
              </w:rPr>
              <w:t>Income statement</w:t>
            </w:r>
          </w:p>
        </w:tc>
        <w:tc>
          <w:tcPr>
            <w:tcW w:type="dxa" w:w="5260"/>
            <w:shd w:fill="FAFBFC"/>
            <w:vAlign w:val="center"/>
            <w:tcMar>
              <w:top w:w="80" w:type="dxa"/>
              <w:start w:w="120" w:type="dxa"/>
              <w:bottom w:w="80" w:type="dxa"/>
              <w:end w:w="120" w:type="dxa"/>
            </w:tcMar>
          </w:tcPr>
          <w:p>
            <w:pPr>
              <w:spacing w:after="0"/>
            </w:pPr>
            <w:r>
              <w:rPr>
                <w:rFonts w:ascii="Calibri" w:hAnsi="Calibri"/>
                <w:b w:val="0"/>
                <w:color w:val="000000"/>
                <w:sz w:val="18"/>
              </w:rPr>
              <w:t>Explain the sales-dollar flow and one audited identity.</w:t>
            </w:r>
          </w:p>
        </w:tc>
      </w:tr>
      <w:tr>
        <w:tc>
          <w:tcPr>
            <w:tcW w:type="dxa" w:w="1500"/>
            <w:vAlign w:val="center"/>
            <w:tcMar>
              <w:top w:w="80" w:type="dxa"/>
              <w:start w:w="120" w:type="dxa"/>
              <w:bottom w:w="80" w:type="dxa"/>
              <w:end w:w="120" w:type="dxa"/>
            </w:tcMar>
          </w:tcPr>
          <w:p>
            <w:pPr>
              <w:spacing w:after="0"/>
            </w:pPr>
            <w:r>
              <w:rPr>
                <w:rFonts w:ascii="Calibri" w:hAnsi="Calibri"/>
                <w:b w:val="0"/>
                <w:color w:val="000000"/>
                <w:sz w:val="18"/>
              </w:rPr>
              <w:t>1:30-2:30</w:t>
            </w:r>
          </w:p>
        </w:tc>
        <w:tc>
          <w:tcPr>
            <w:tcW w:type="dxa" w:w="2600"/>
            <w:vAlign w:val="center"/>
            <w:tcMar>
              <w:top w:w="80" w:type="dxa"/>
              <w:start w:w="120" w:type="dxa"/>
              <w:bottom w:w="80" w:type="dxa"/>
              <w:end w:w="120" w:type="dxa"/>
            </w:tcMar>
          </w:tcPr>
          <w:p>
            <w:pPr>
              <w:spacing w:after="0"/>
            </w:pPr>
            <w:r>
              <w:rPr>
                <w:rFonts w:ascii="Calibri" w:hAnsi="Calibri"/>
                <w:b w:val="0"/>
                <w:color w:val="000000"/>
                <w:sz w:val="18"/>
              </w:rPr>
              <w:t>Free cash flow</w:t>
            </w:r>
          </w:p>
        </w:tc>
        <w:tc>
          <w:tcPr>
            <w:tcW w:type="dxa" w:w="5260"/>
            <w:vAlign w:val="center"/>
            <w:tcMar>
              <w:top w:w="80" w:type="dxa"/>
              <w:start w:w="120" w:type="dxa"/>
              <w:bottom w:w="80" w:type="dxa"/>
              <w:end w:w="120" w:type="dxa"/>
            </w:tcMar>
          </w:tcPr>
          <w:p>
            <w:pPr>
              <w:spacing w:after="0"/>
            </w:pPr>
            <w:r>
              <w:rPr>
                <w:rFonts w:ascii="Calibri" w:hAnsi="Calibri"/>
                <w:b w:val="0"/>
                <w:color w:val="000000"/>
                <w:sz w:val="18"/>
              </w:rPr>
              <w:t>Distinguish textbook, cash, and adjusted FCF; explain the residual.</w:t>
            </w:r>
          </w:p>
        </w:tc>
      </w:tr>
      <w:tr>
        <w:tc>
          <w:tcPr>
            <w:tcW w:type="dxa" w:w="1500"/>
            <w:shd w:fill="FAFBFC"/>
            <w:vAlign w:val="center"/>
            <w:tcMar>
              <w:top w:w="80" w:type="dxa"/>
              <w:start w:w="120" w:type="dxa"/>
              <w:bottom w:w="80" w:type="dxa"/>
              <w:end w:w="120" w:type="dxa"/>
            </w:tcMar>
          </w:tcPr>
          <w:p>
            <w:pPr>
              <w:spacing w:after="0"/>
            </w:pPr>
            <w:r>
              <w:rPr>
                <w:rFonts w:ascii="Calibri" w:hAnsi="Calibri"/>
                <w:b w:val="0"/>
                <w:color w:val="000000"/>
                <w:sz w:val="18"/>
              </w:rPr>
              <w:t>2:30-3:30</w:t>
            </w:r>
          </w:p>
        </w:tc>
        <w:tc>
          <w:tcPr>
            <w:tcW w:type="dxa" w:w="2600"/>
            <w:shd w:fill="FAFBFC"/>
            <w:vAlign w:val="center"/>
            <w:tcMar>
              <w:top w:w="80" w:type="dxa"/>
              <w:start w:w="120" w:type="dxa"/>
              <w:bottom w:w="80" w:type="dxa"/>
              <w:end w:w="120" w:type="dxa"/>
            </w:tcMar>
          </w:tcPr>
          <w:p>
            <w:pPr>
              <w:spacing w:after="0"/>
            </w:pPr>
            <w:r>
              <w:rPr>
                <w:rFonts w:ascii="Calibri" w:hAnsi="Calibri"/>
                <w:b w:val="0"/>
                <w:color w:val="000000"/>
                <w:sz w:val="18"/>
              </w:rPr>
              <w:t>Trend and DuPont</w:t>
            </w:r>
          </w:p>
        </w:tc>
        <w:tc>
          <w:tcPr>
            <w:tcW w:type="dxa" w:w="5260"/>
            <w:shd w:fill="FAFBFC"/>
            <w:vAlign w:val="center"/>
            <w:tcMar>
              <w:top w:w="80" w:type="dxa"/>
              <w:start w:w="120" w:type="dxa"/>
              <w:bottom w:w="80" w:type="dxa"/>
              <w:end w:w="120" w:type="dxa"/>
            </w:tcMar>
          </w:tcPr>
          <w:p>
            <w:pPr>
              <w:spacing w:after="0"/>
            </w:pPr>
            <w:r>
              <w:rPr>
                <w:rFonts w:ascii="Calibri" w:hAnsi="Calibri"/>
                <w:b w:val="0"/>
                <w:color w:val="000000"/>
                <w:sz w:val="18"/>
              </w:rPr>
              <w:t>Explain the growth gap and the profitability/efficiency/leverage mix.</w:t>
            </w:r>
          </w:p>
        </w:tc>
      </w:tr>
      <w:tr>
        <w:tc>
          <w:tcPr>
            <w:tcW w:type="dxa" w:w="1500"/>
            <w:vAlign w:val="center"/>
            <w:tcMar>
              <w:top w:w="80" w:type="dxa"/>
              <w:start w:w="120" w:type="dxa"/>
              <w:bottom w:w="80" w:type="dxa"/>
              <w:end w:w="120" w:type="dxa"/>
            </w:tcMar>
          </w:tcPr>
          <w:p>
            <w:pPr>
              <w:spacing w:after="0"/>
            </w:pPr>
            <w:r>
              <w:rPr>
                <w:rFonts w:ascii="Calibri" w:hAnsi="Calibri"/>
                <w:b w:val="0"/>
                <w:color w:val="000000"/>
                <w:sz w:val="18"/>
              </w:rPr>
              <w:t>3:30-4:30</w:t>
            </w:r>
          </w:p>
        </w:tc>
        <w:tc>
          <w:tcPr>
            <w:tcW w:type="dxa" w:w="2600"/>
            <w:vAlign w:val="center"/>
            <w:tcMar>
              <w:top w:w="80" w:type="dxa"/>
              <w:start w:w="120" w:type="dxa"/>
              <w:bottom w:w="80" w:type="dxa"/>
              <w:end w:w="120" w:type="dxa"/>
            </w:tcMar>
          </w:tcPr>
          <w:p>
            <w:pPr>
              <w:spacing w:after="0"/>
            </w:pPr>
            <w:r>
              <w:rPr>
                <w:rFonts w:ascii="Calibri" w:hAnsi="Calibri"/>
                <w:b w:val="0"/>
                <w:color w:val="000000"/>
                <w:sz w:val="18"/>
              </w:rPr>
              <w:t>AI audit</w:t>
            </w:r>
          </w:p>
        </w:tc>
        <w:tc>
          <w:tcPr>
            <w:tcW w:type="dxa" w:w="5260"/>
            <w:vAlign w:val="center"/>
            <w:tcMar>
              <w:top w:w="80" w:type="dxa"/>
              <w:start w:w="120" w:type="dxa"/>
              <w:bottom w:w="80" w:type="dxa"/>
              <w:end w:w="120" w:type="dxa"/>
            </w:tcMar>
          </w:tcPr>
          <w:p>
            <w:pPr>
              <w:spacing w:after="0"/>
            </w:pPr>
            <w:r>
              <w:rPr>
                <w:rFonts w:ascii="Calibri" w:hAnsi="Calibri"/>
                <w:b w:val="0"/>
                <w:color w:val="000000"/>
                <w:sz w:val="18"/>
              </w:rPr>
              <w:t>Show one correction, one automatic check, and one visual risk.</w:t>
            </w:r>
          </w:p>
        </w:tc>
      </w:tr>
      <w:tr>
        <w:tc>
          <w:tcPr>
            <w:tcW w:type="dxa" w:w="1500"/>
            <w:shd w:fill="FAFBFC"/>
            <w:vAlign w:val="center"/>
            <w:tcMar>
              <w:top w:w="80" w:type="dxa"/>
              <w:start w:w="120" w:type="dxa"/>
              <w:bottom w:w="80" w:type="dxa"/>
              <w:end w:w="120" w:type="dxa"/>
            </w:tcMar>
          </w:tcPr>
          <w:p>
            <w:pPr>
              <w:spacing w:after="0"/>
            </w:pPr>
            <w:r>
              <w:rPr>
                <w:rFonts w:ascii="Calibri" w:hAnsi="Calibri"/>
                <w:b w:val="0"/>
                <w:color w:val="000000"/>
                <w:sz w:val="18"/>
              </w:rPr>
              <w:t>4:30-5:00</w:t>
            </w:r>
          </w:p>
        </w:tc>
        <w:tc>
          <w:tcPr>
            <w:tcW w:type="dxa" w:w="2600"/>
            <w:shd w:fill="FAFBFC"/>
            <w:vAlign w:val="center"/>
            <w:tcMar>
              <w:top w:w="80" w:type="dxa"/>
              <w:start w:w="120" w:type="dxa"/>
              <w:bottom w:w="80" w:type="dxa"/>
              <w:end w:w="120" w:type="dxa"/>
            </w:tcMar>
          </w:tcPr>
          <w:p>
            <w:pPr>
              <w:spacing w:after="0"/>
            </w:pPr>
            <w:r>
              <w:rPr>
                <w:rFonts w:ascii="Calibri" w:hAnsi="Calibri"/>
                <w:b w:val="0"/>
                <w:color w:val="000000"/>
                <w:sz w:val="18"/>
              </w:rPr>
              <w:t>Caveat and close</w:t>
            </w:r>
          </w:p>
        </w:tc>
        <w:tc>
          <w:tcPr>
            <w:tcW w:type="dxa" w:w="5260"/>
            <w:shd w:fill="FAFBFC"/>
            <w:vAlign w:val="center"/>
            <w:tcMar>
              <w:top w:w="80" w:type="dxa"/>
              <w:start w:w="120" w:type="dxa"/>
              <w:bottom w:w="80" w:type="dxa"/>
              <w:end w:w="120" w:type="dxa"/>
            </w:tcMar>
          </w:tcPr>
          <w:p>
            <w:pPr>
              <w:spacing w:after="0"/>
            </w:pPr>
            <w:r>
              <w:rPr>
                <w:rFonts w:ascii="Calibri" w:hAnsi="Calibri"/>
                <w:b w:val="0"/>
                <w:color w:val="000000"/>
                <w:sz w:val="18"/>
              </w:rPr>
              <w:t>Name one limitation and return to the thesis.</w:t>
            </w:r>
          </w:p>
        </w:tc>
      </w:tr>
    </w:tbl>
    <w:p>
      <w:pPr>
        <w:spacing w:after="0"/>
      </w:pPr>
    </w:p>
    <w:p>
      <w:pPr>
        <w:pStyle w:val="ListBullet"/>
      </w:pPr>
      <w:r>
        <w:t>Use no more than five content slides plus an optional title slide.</w:t>
      </w:r>
    </w:p>
    <w:p>
      <w:pPr>
        <w:pStyle w:val="ListBullet"/>
      </w:pPr>
      <w:r>
        <w:t>Every team member must speak and be ready for a random question.</w:t>
      </w:r>
    </w:p>
    <w:p>
      <w:pPr>
        <w:pStyle w:val="ListBullet"/>
      </w:pPr>
      <w:r>
        <w:t>Do not read code line by line. Explain the financial job performed by the code.</w:t>
      </w:r>
    </w:p>
    <w:p>
      <w:pPr>
        <w:pStyle w:val="ListBullet"/>
      </w:pPr>
      <w:r>
        <w:t>Use large labels; the four figures must be readable from the back of the room.</w:t>
      </w:r>
    </w:p>
    <w:p>
      <w:pPr>
        <w:pStyle w:val="ListBullet"/>
      </w:pPr>
      <w:r>
        <w:t>State when a conclusion is an inference rather than a fact directly shown by the data.</w:t>
      </w:r>
    </w:p>
    <w:p>
      <w:pPr>
        <w:pStyle w:val="ListBullet"/>
      </w:pPr>
      <w:r>
        <w:t>Finish within five minutes; a concise, verified story is stronger than a rushed inventory of details.</w:t>
      </w:r>
    </w:p>
    <w:p>
      <w:pPr>
        <w:pStyle w:val="Heading1"/>
      </w:pPr>
      <w:r>
        <w:t>17. Quality and Grading Priorities</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2100"/>
        <w:gridCol w:w="3630"/>
        <w:gridCol w:w="3630"/>
      </w:tblGrid>
      <w:tr>
        <w:trPr>
          <w:tblHeader w:val="true"/>
        </w:trPr>
        <w:tc>
          <w:tcPr>
            <w:tcW w:type="dxa" w:w="2100"/>
            <w:vAlign w:val="center"/>
            <w:tcMar>
              <w:top w:w="80" w:type="dxa"/>
              <w:start w:w="120" w:type="dxa"/>
              <w:bottom w:w="80" w:type="dxa"/>
              <w:end w:w="120" w:type="dxa"/>
            </w:tcMar>
            <w:shd w:fill="E8EEF5"/>
          </w:tcPr>
          <w:p>
            <w:pPr>
              <w:spacing w:after="0"/>
            </w:pPr>
            <w:r>
              <w:rPr>
                <w:rFonts w:ascii="Calibri" w:hAnsi="Calibri"/>
                <w:b/>
                <w:color w:val="0B2545"/>
                <w:sz w:val="17"/>
              </w:rPr>
              <w:t>Priority</w:t>
            </w:r>
          </w:p>
        </w:tc>
        <w:tc>
          <w:tcPr>
            <w:tcW w:type="dxa" w:w="3630"/>
            <w:vAlign w:val="center"/>
            <w:tcMar>
              <w:top w:w="80" w:type="dxa"/>
              <w:start w:w="120" w:type="dxa"/>
              <w:bottom w:w="80" w:type="dxa"/>
              <w:end w:w="120" w:type="dxa"/>
            </w:tcMar>
            <w:shd w:fill="E8EEF5"/>
          </w:tcPr>
          <w:p>
            <w:pPr>
              <w:spacing w:after="0"/>
            </w:pPr>
            <w:r>
              <w:rPr>
                <w:rFonts w:ascii="Calibri" w:hAnsi="Calibri"/>
                <w:b/>
                <w:color w:val="0B2545"/>
                <w:sz w:val="17"/>
              </w:rPr>
              <w:t>What earns credit</w:t>
            </w:r>
          </w:p>
        </w:tc>
        <w:tc>
          <w:tcPr>
            <w:tcW w:type="dxa" w:w="3630"/>
            <w:vAlign w:val="center"/>
            <w:tcMar>
              <w:top w:w="80" w:type="dxa"/>
              <w:start w:w="120" w:type="dxa"/>
              <w:bottom w:w="80" w:type="dxa"/>
              <w:end w:w="120" w:type="dxa"/>
            </w:tcMar>
            <w:shd w:fill="E8EEF5"/>
          </w:tcPr>
          <w:p>
            <w:pPr>
              <w:spacing w:after="0"/>
            </w:pPr>
            <w:r>
              <w:rPr>
                <w:rFonts w:ascii="Calibri" w:hAnsi="Calibri"/>
                <w:b/>
                <w:color w:val="0B2545"/>
                <w:sz w:val="17"/>
              </w:rPr>
              <w:t>What loses credit</w:t>
            </w:r>
          </w:p>
        </w:tc>
      </w:tr>
      <w:tr>
        <w:tc>
          <w:tcPr>
            <w:tcW w:type="dxa" w:w="2100"/>
            <w:vAlign w:val="center"/>
            <w:tcMar>
              <w:top w:w="80" w:type="dxa"/>
              <w:start w:w="120" w:type="dxa"/>
              <w:bottom w:w="80" w:type="dxa"/>
              <w:end w:w="120" w:type="dxa"/>
            </w:tcMar>
          </w:tcPr>
          <w:p>
            <w:pPr>
              <w:spacing w:after="0"/>
            </w:pPr>
            <w:r>
              <w:rPr>
                <w:rFonts w:ascii="Calibri" w:hAnsi="Calibri"/>
                <w:b w:val="0"/>
                <w:color w:val="000000"/>
                <w:sz w:val="17"/>
              </w:rPr>
              <w:t>1. Accuracy and provenance</w:t>
            </w:r>
          </w:p>
        </w:tc>
        <w:tc>
          <w:tcPr>
            <w:tcW w:type="dxa" w:w="3630"/>
            <w:vAlign w:val="center"/>
            <w:tcMar>
              <w:top w:w="80" w:type="dxa"/>
              <w:start w:w="120" w:type="dxa"/>
              <w:bottom w:w="80" w:type="dxa"/>
              <w:end w:w="120" w:type="dxa"/>
            </w:tcMar>
          </w:tcPr>
          <w:p>
            <w:pPr>
              <w:spacing w:after="0"/>
            </w:pPr>
            <w:r>
              <w:rPr>
                <w:rFonts w:ascii="Calibri" w:hAnsi="Calibri"/>
                <w:b w:val="0"/>
                <w:color w:val="000000"/>
                <w:sz w:val="17"/>
              </w:rPr>
              <w:t>Correct fiscal year, units, signs, audited sources, and reconciliations.</w:t>
            </w:r>
          </w:p>
        </w:tc>
        <w:tc>
          <w:tcPr>
            <w:tcW w:type="dxa" w:w="3630"/>
            <w:vAlign w:val="center"/>
            <w:tcMar>
              <w:top w:w="80" w:type="dxa"/>
              <w:start w:w="120" w:type="dxa"/>
              <w:bottom w:w="80" w:type="dxa"/>
              <w:end w:w="120" w:type="dxa"/>
            </w:tcMar>
          </w:tcPr>
          <w:p>
            <w:pPr>
              <w:spacing w:after="0"/>
            </w:pPr>
            <w:r>
              <w:rPr>
                <w:rFonts w:ascii="Calibri" w:hAnsi="Calibri"/>
                <w:b w:val="0"/>
                <w:color w:val="000000"/>
                <w:sz w:val="17"/>
              </w:rPr>
              <w:t>Invented data, wrong period, or material unreconciled values.</w:t>
            </w:r>
          </w:p>
        </w:tc>
      </w:tr>
      <w:tr>
        <w:tc>
          <w:tcPr>
            <w:tcW w:type="dxa" w:w="2100"/>
            <w:shd w:fill="FAFBFC"/>
            <w:vAlign w:val="center"/>
            <w:tcMar>
              <w:top w:w="80" w:type="dxa"/>
              <w:start w:w="120" w:type="dxa"/>
              <w:bottom w:w="80" w:type="dxa"/>
              <w:end w:w="120" w:type="dxa"/>
            </w:tcMar>
          </w:tcPr>
          <w:p>
            <w:pPr>
              <w:spacing w:after="0"/>
            </w:pPr>
            <w:r>
              <w:rPr>
                <w:rFonts w:ascii="Calibri" w:hAnsi="Calibri"/>
                <w:b w:val="0"/>
                <w:color w:val="000000"/>
                <w:sz w:val="17"/>
              </w:rPr>
              <w:t>2. Financial understanding</w:t>
            </w:r>
          </w:p>
        </w:tc>
        <w:tc>
          <w:tcPr>
            <w:tcW w:type="dxa" w:w="3630"/>
            <w:shd w:fill="FAFBFC"/>
            <w:vAlign w:val="center"/>
            <w:tcMar>
              <w:top w:w="80" w:type="dxa"/>
              <w:start w:w="120" w:type="dxa"/>
              <w:bottom w:w="80" w:type="dxa"/>
              <w:end w:w="120" w:type="dxa"/>
            </w:tcMar>
          </w:tcPr>
          <w:p>
            <w:pPr>
              <w:spacing w:after="0"/>
            </w:pPr>
            <w:r>
              <w:rPr>
                <w:rFonts w:ascii="Calibri" w:hAnsi="Calibri"/>
                <w:b w:val="0"/>
                <w:color w:val="000000"/>
                <w:sz w:val="17"/>
              </w:rPr>
              <w:t>Definitions and interpretations are internally consistent.</w:t>
            </w:r>
          </w:p>
        </w:tc>
        <w:tc>
          <w:tcPr>
            <w:tcW w:type="dxa" w:w="3630"/>
            <w:shd w:fill="FAFBFC"/>
            <w:vAlign w:val="center"/>
            <w:tcMar>
              <w:top w:w="80" w:type="dxa"/>
              <w:start w:w="120" w:type="dxa"/>
              <w:bottom w:w="80" w:type="dxa"/>
              <w:end w:w="120" w:type="dxa"/>
            </w:tcMar>
          </w:tcPr>
          <w:p>
            <w:pPr>
              <w:spacing w:after="0"/>
            </w:pPr>
            <w:r>
              <w:rPr>
                <w:rFonts w:ascii="Calibri" w:hAnsi="Calibri"/>
                <w:b w:val="0"/>
                <w:color w:val="000000"/>
                <w:sz w:val="17"/>
              </w:rPr>
              <w:t>Treating textbook FCF and adjusted FCF as interchangeable.</w:t>
            </w:r>
          </w:p>
        </w:tc>
      </w:tr>
      <w:tr>
        <w:tc>
          <w:tcPr>
            <w:tcW w:type="dxa" w:w="2100"/>
            <w:vAlign w:val="center"/>
            <w:tcMar>
              <w:top w:w="80" w:type="dxa"/>
              <w:start w:w="120" w:type="dxa"/>
              <w:bottom w:w="80" w:type="dxa"/>
              <w:end w:w="120" w:type="dxa"/>
            </w:tcMar>
          </w:tcPr>
          <w:p>
            <w:pPr>
              <w:spacing w:after="0"/>
            </w:pPr>
            <w:r>
              <w:rPr>
                <w:rFonts w:ascii="Calibri" w:hAnsi="Calibri"/>
                <w:b w:val="0"/>
                <w:color w:val="000000"/>
                <w:sz w:val="17"/>
              </w:rPr>
              <w:t>3. Verification</w:t>
            </w:r>
          </w:p>
        </w:tc>
        <w:tc>
          <w:tcPr>
            <w:tcW w:type="dxa" w:w="3630"/>
            <w:vAlign w:val="center"/>
            <w:tcMar>
              <w:top w:w="80" w:type="dxa"/>
              <w:start w:w="120" w:type="dxa"/>
              <w:bottom w:w="80" w:type="dxa"/>
              <w:end w:w="120" w:type="dxa"/>
            </w:tcMar>
          </w:tcPr>
          <w:p>
            <w:pPr>
              <w:spacing w:after="0"/>
            </w:pPr>
            <w:r>
              <w:rPr>
                <w:rFonts w:ascii="Calibri" w:hAnsi="Calibri"/>
                <w:b w:val="0"/>
                <w:color w:val="000000"/>
                <w:sz w:val="17"/>
              </w:rPr>
              <w:t>Automatic checks plus documented human review and correction.</w:t>
            </w:r>
          </w:p>
        </w:tc>
        <w:tc>
          <w:tcPr>
            <w:tcW w:type="dxa" w:w="3630"/>
            <w:vAlign w:val="center"/>
            <w:tcMar>
              <w:top w:w="80" w:type="dxa"/>
              <w:start w:w="120" w:type="dxa"/>
              <w:bottom w:w="80" w:type="dxa"/>
              <w:end w:w="120" w:type="dxa"/>
            </w:tcMar>
          </w:tcPr>
          <w:p>
            <w:pPr>
              <w:spacing w:after="0"/>
            </w:pPr>
            <w:r>
              <w:rPr>
                <w:rFonts w:ascii="Calibri" w:hAnsi="Calibri"/>
                <w:b w:val="0"/>
                <w:color w:val="000000"/>
                <w:sz w:val="17"/>
              </w:rPr>
              <w:t>Saying 'AI was correct' without evidence.</w:t>
            </w:r>
          </w:p>
        </w:tc>
      </w:tr>
      <w:tr>
        <w:tc>
          <w:tcPr>
            <w:tcW w:type="dxa" w:w="2100"/>
            <w:shd w:fill="FAFBFC"/>
            <w:vAlign w:val="center"/>
            <w:tcMar>
              <w:top w:w="80" w:type="dxa"/>
              <w:start w:w="120" w:type="dxa"/>
              <w:bottom w:w="80" w:type="dxa"/>
              <w:end w:w="120" w:type="dxa"/>
            </w:tcMar>
          </w:tcPr>
          <w:p>
            <w:pPr>
              <w:spacing w:after="0"/>
            </w:pPr>
            <w:r>
              <w:rPr>
                <w:rFonts w:ascii="Calibri" w:hAnsi="Calibri"/>
                <w:b w:val="0"/>
                <w:color w:val="000000"/>
                <w:sz w:val="17"/>
              </w:rPr>
              <w:t>4. Reproducibility</w:t>
            </w:r>
          </w:p>
        </w:tc>
        <w:tc>
          <w:tcPr>
            <w:tcW w:type="dxa" w:w="3630"/>
            <w:shd w:fill="FAFBFC"/>
            <w:vAlign w:val="center"/>
            <w:tcMar>
              <w:top w:w="80" w:type="dxa"/>
              <w:start w:w="120" w:type="dxa"/>
              <w:bottom w:w="80" w:type="dxa"/>
              <w:end w:w="120" w:type="dxa"/>
            </w:tcMar>
          </w:tcPr>
          <w:p>
            <w:pPr>
              <w:spacing w:after="0"/>
            </w:pPr>
            <w:r>
              <w:rPr>
                <w:rFonts w:ascii="Calibri" w:hAnsi="Calibri"/>
                <w:b w:val="0"/>
                <w:color w:val="000000"/>
                <w:sz w:val="17"/>
              </w:rPr>
              <w:t>Code runs from submitted files on another computer.</w:t>
            </w:r>
          </w:p>
        </w:tc>
        <w:tc>
          <w:tcPr>
            <w:tcW w:type="dxa" w:w="3630"/>
            <w:shd w:fill="FAFBFC"/>
            <w:vAlign w:val="center"/>
            <w:tcMar>
              <w:top w:w="80" w:type="dxa"/>
              <w:start w:w="120" w:type="dxa"/>
              <w:bottom w:w="80" w:type="dxa"/>
              <w:end w:w="120" w:type="dxa"/>
            </w:tcMar>
          </w:tcPr>
          <w:p>
            <w:pPr>
              <w:spacing w:after="0"/>
            </w:pPr>
            <w:r>
              <w:rPr>
                <w:rFonts w:ascii="Calibri" w:hAnsi="Calibri"/>
                <w:b w:val="0"/>
                <w:color w:val="000000"/>
                <w:sz w:val="17"/>
              </w:rPr>
              <w:t>Hard-coded personal paths or unexplained manual steps.</w:t>
            </w:r>
          </w:p>
        </w:tc>
      </w:tr>
      <w:tr>
        <w:tc>
          <w:tcPr>
            <w:tcW w:type="dxa" w:w="2100"/>
            <w:vAlign w:val="center"/>
            <w:tcMar>
              <w:top w:w="80" w:type="dxa"/>
              <w:start w:w="120" w:type="dxa"/>
              <w:bottom w:w="80" w:type="dxa"/>
              <w:end w:w="120" w:type="dxa"/>
            </w:tcMar>
          </w:tcPr>
          <w:p>
            <w:pPr>
              <w:spacing w:after="0"/>
            </w:pPr>
            <w:r>
              <w:rPr>
                <w:rFonts w:ascii="Calibri" w:hAnsi="Calibri"/>
                <w:b w:val="0"/>
                <w:color w:val="000000"/>
                <w:sz w:val="17"/>
              </w:rPr>
              <w:t>5. Communication</w:t>
            </w:r>
          </w:p>
        </w:tc>
        <w:tc>
          <w:tcPr>
            <w:tcW w:type="dxa" w:w="3630"/>
            <w:vAlign w:val="center"/>
            <w:tcMar>
              <w:top w:w="80" w:type="dxa"/>
              <w:start w:w="120" w:type="dxa"/>
              <w:bottom w:w="80" w:type="dxa"/>
              <w:end w:w="120" w:type="dxa"/>
            </w:tcMar>
          </w:tcPr>
          <w:p>
            <w:pPr>
              <w:spacing w:after="0"/>
            </w:pPr>
            <w:r>
              <w:rPr>
                <w:rFonts w:ascii="Calibri" w:hAnsi="Calibri"/>
                <w:b w:val="0"/>
                <w:color w:val="000000"/>
                <w:sz w:val="17"/>
              </w:rPr>
              <w:t>One integrated, cautious, readable story.</w:t>
            </w:r>
          </w:p>
        </w:tc>
        <w:tc>
          <w:tcPr>
            <w:tcW w:type="dxa" w:w="3630"/>
            <w:vAlign w:val="center"/>
            <w:tcMar>
              <w:top w:w="80" w:type="dxa"/>
              <w:start w:w="120" w:type="dxa"/>
              <w:bottom w:w="80" w:type="dxa"/>
              <w:end w:w="120" w:type="dxa"/>
            </w:tcMar>
          </w:tcPr>
          <w:p>
            <w:pPr>
              <w:spacing w:after="0"/>
            </w:pPr>
            <w:r>
              <w:rPr>
                <w:rFonts w:ascii="Calibri" w:hAnsi="Calibri"/>
                <w:b w:val="0"/>
                <w:color w:val="000000"/>
                <w:sz w:val="17"/>
              </w:rPr>
              <w:t>Attractive but misleading axes, widths, labels, or claims.</w:t>
            </w:r>
          </w:p>
        </w:tc>
      </w:tr>
    </w:tbl>
    <w:p>
      <w:pPr>
        <w:spacing w:after="0"/>
      </w:pPr>
    </w:p>
    <w:p>
      <w:pPr>
        <w:pStyle w:val="Heading1"/>
      </w:pPr>
      <w:r>
        <w:t>Appendix A - Formula and Benchmark Sheet</w:t>
      </w:r>
    </w:p>
    <w:tbl>
      <w:tblPr>
        <w:tblW w:type="dxa" w:w="9360"/>
        <w:tblLayout w:type="fixed"/>
        <w:tblLook w:firstColumn="1" w:firstRow="1" w:lastColumn="0" w:lastRow="0" w:noHBand="0" w:noVBand="1" w:val="04A0"/>
        <w:jc w:val="left"/>
        <w:tblInd w:w="120" w:type="dxa"/>
        <w:tblBorders>
          <w:top w:val="single" w:sz="6" w:space="0" w:color="D9DEE6"/>
          <w:left w:val="single" w:sz="6" w:space="0" w:color="D9DEE6"/>
          <w:bottom w:val="single" w:sz="6" w:space="0" w:color="D9DEE6"/>
          <w:right w:val="single" w:sz="6" w:space="0" w:color="D9DEE6"/>
          <w:insideH w:val="single" w:sz="6" w:space="0" w:color="D9DEE6"/>
          <w:insideV w:val="single" w:sz="6" w:space="0" w:color="D9DEE6"/>
        </w:tblBorders>
      </w:tblPr>
      <w:tblGrid>
        <w:gridCol w:w="2800"/>
        <w:gridCol w:w="6560"/>
      </w:tblGrid>
      <w:tr>
        <w:trPr>
          <w:tblHeader w:val="true"/>
        </w:trPr>
        <w:tc>
          <w:tcPr>
            <w:tcW w:type="dxa" w:w="2800"/>
            <w:vAlign w:val="center"/>
            <w:tcMar>
              <w:top w:w="80" w:type="dxa"/>
              <w:start w:w="120" w:type="dxa"/>
              <w:bottom w:w="80" w:type="dxa"/>
              <w:end w:w="120" w:type="dxa"/>
            </w:tcMar>
            <w:shd w:fill="E8EEF5"/>
          </w:tcPr>
          <w:p>
            <w:pPr>
              <w:spacing w:after="0"/>
            </w:pPr>
            <w:r>
              <w:rPr>
                <w:rFonts w:ascii="Calibri" w:hAnsi="Calibri"/>
                <w:b/>
                <w:color w:val="0B2545"/>
                <w:sz w:val="18"/>
              </w:rPr>
              <w:t>Item</w:t>
            </w:r>
          </w:p>
        </w:tc>
        <w:tc>
          <w:tcPr>
            <w:tcW w:type="dxa" w:w="6560"/>
            <w:vAlign w:val="center"/>
            <w:tcMar>
              <w:top w:w="80" w:type="dxa"/>
              <w:start w:w="120" w:type="dxa"/>
              <w:bottom w:w="80" w:type="dxa"/>
              <w:end w:w="120" w:type="dxa"/>
            </w:tcMar>
            <w:shd w:fill="E8EEF5"/>
          </w:tcPr>
          <w:p>
            <w:pPr>
              <w:spacing w:after="0"/>
            </w:pPr>
            <w:r>
              <w:rPr>
                <w:rFonts w:ascii="Calibri" w:hAnsi="Calibri"/>
                <w:b/>
                <w:color w:val="0B2545"/>
                <w:sz w:val="18"/>
              </w:rPr>
              <w:t>Formula or benchmark</w:t>
            </w:r>
          </w:p>
        </w:tc>
      </w:tr>
      <w:tr>
        <w:tc>
          <w:tcPr>
            <w:tcW w:type="dxa" w:w="2800"/>
            <w:vAlign w:val="center"/>
            <w:tcMar>
              <w:top w:w="80" w:type="dxa"/>
              <w:start w:w="120" w:type="dxa"/>
              <w:bottom w:w="80" w:type="dxa"/>
              <w:end w:w="120" w:type="dxa"/>
            </w:tcMar>
          </w:tcPr>
          <w:p>
            <w:pPr>
              <w:spacing w:after="0"/>
            </w:pPr>
            <w:r>
              <w:rPr>
                <w:rFonts w:ascii="Calibri" w:hAnsi="Calibri"/>
                <w:b/>
                <w:color w:val="000000"/>
                <w:sz w:val="18"/>
              </w:rPr>
              <w:t>Gross Profit</w:t>
            </w:r>
          </w:p>
        </w:tc>
        <w:tc>
          <w:tcPr>
            <w:tcW w:type="dxa" w:w="6560"/>
            <w:vAlign w:val="center"/>
            <w:tcMar>
              <w:top w:w="80" w:type="dxa"/>
              <w:start w:w="120" w:type="dxa"/>
              <w:bottom w:w="80" w:type="dxa"/>
              <w:end w:w="120" w:type="dxa"/>
            </w:tcMar>
          </w:tcPr>
          <w:p>
            <w:pPr>
              <w:spacing w:after="0"/>
            </w:pPr>
            <w:r>
              <w:rPr>
                <w:rFonts w:ascii="Calibri" w:hAnsi="Calibri"/>
                <w:b w:val="0"/>
                <w:color w:val="000000"/>
                <w:sz w:val="18"/>
              </w:rPr>
              <w:t>Net Sales - Cost of Products Sold = $43,120M</w:t>
            </w:r>
          </w:p>
        </w:tc>
      </w:tr>
      <w:tr>
        <w:tc>
          <w:tcPr>
            <w:tcW w:type="dxa" w:w="2800"/>
            <w:shd w:fill="FAFBFC"/>
            <w:vAlign w:val="center"/>
            <w:tcMar>
              <w:top w:w="80" w:type="dxa"/>
              <w:start w:w="120" w:type="dxa"/>
              <w:bottom w:w="80" w:type="dxa"/>
              <w:end w:w="120" w:type="dxa"/>
            </w:tcMar>
          </w:tcPr>
          <w:p>
            <w:pPr>
              <w:spacing w:after="0"/>
            </w:pPr>
            <w:r>
              <w:rPr>
                <w:rFonts w:ascii="Calibri" w:hAnsi="Calibri"/>
                <w:b/>
                <w:color w:val="000000"/>
                <w:sz w:val="18"/>
              </w:rPr>
              <w:t>Net Non-Operating Expense</w:t>
            </w:r>
          </w:p>
        </w:tc>
        <w:tc>
          <w:tcPr>
            <w:tcW w:type="dxa" w:w="6560"/>
            <w:shd w:fill="FAFBFC"/>
            <w:vAlign w:val="center"/>
            <w:tcMar>
              <w:top w:w="80" w:type="dxa"/>
              <w:start w:w="120" w:type="dxa"/>
              <w:bottom w:w="80" w:type="dxa"/>
              <w:end w:w="120" w:type="dxa"/>
            </w:tcMar>
          </w:tcPr>
          <w:p>
            <w:pPr>
              <w:spacing w:after="0"/>
            </w:pPr>
            <w:r>
              <w:rPr>
                <w:rFonts w:ascii="Calibri" w:hAnsi="Calibri"/>
                <w:b w:val="0"/>
                <w:color w:val="000000"/>
                <w:sz w:val="18"/>
              </w:rPr>
              <w:t>$907M interest expense - $469M interest income - $154M other income = $284M</w:t>
            </w:r>
          </w:p>
        </w:tc>
      </w:tr>
      <w:tr>
        <w:tc>
          <w:tcPr>
            <w:tcW w:type="dxa" w:w="2800"/>
            <w:vAlign w:val="center"/>
            <w:tcMar>
              <w:top w:w="80" w:type="dxa"/>
              <w:start w:w="120" w:type="dxa"/>
              <w:bottom w:w="80" w:type="dxa"/>
              <w:end w:w="120" w:type="dxa"/>
            </w:tcMar>
          </w:tcPr>
          <w:p>
            <w:pPr>
              <w:spacing w:after="0"/>
            </w:pPr>
            <w:r>
              <w:rPr>
                <w:rFonts w:ascii="Calibri" w:hAnsi="Calibri"/>
                <w:b/>
                <w:color w:val="000000"/>
                <w:sz w:val="18"/>
              </w:rPr>
              <w:t>Effective tax rate</w:t>
            </w:r>
          </w:p>
        </w:tc>
        <w:tc>
          <w:tcPr>
            <w:tcW w:type="dxa" w:w="6560"/>
            <w:vAlign w:val="center"/>
            <w:tcMar>
              <w:top w:w="80" w:type="dxa"/>
              <w:start w:w="120" w:type="dxa"/>
              <w:bottom w:w="80" w:type="dxa"/>
              <w:end w:w="120" w:type="dxa"/>
            </w:tcMar>
          </w:tcPr>
          <w:p>
            <w:pPr>
              <w:spacing w:after="0"/>
            </w:pPr>
            <w:r>
              <w:rPr>
                <w:rFonts w:ascii="Calibri" w:hAnsi="Calibri"/>
                <w:b w:val="0"/>
                <w:color w:val="000000"/>
                <w:sz w:val="18"/>
              </w:rPr>
              <w:t>$4,102M / $20,167M = 20.34%</w:t>
            </w:r>
          </w:p>
        </w:tc>
      </w:tr>
      <w:tr>
        <w:tc>
          <w:tcPr>
            <w:tcW w:type="dxa" w:w="2800"/>
            <w:shd w:fill="FAFBFC"/>
            <w:vAlign w:val="center"/>
            <w:tcMar>
              <w:top w:w="80" w:type="dxa"/>
              <w:start w:w="120" w:type="dxa"/>
              <w:bottom w:w="80" w:type="dxa"/>
              <w:end w:w="120" w:type="dxa"/>
            </w:tcMar>
          </w:tcPr>
          <w:p>
            <w:pPr>
              <w:spacing w:after="0"/>
            </w:pPr>
            <w:r>
              <w:rPr>
                <w:rFonts w:ascii="Calibri" w:hAnsi="Calibri"/>
                <w:b/>
                <w:color w:val="000000"/>
                <w:sz w:val="18"/>
              </w:rPr>
              <w:t>NOPAT</w:t>
            </w:r>
          </w:p>
        </w:tc>
        <w:tc>
          <w:tcPr>
            <w:tcW w:type="dxa" w:w="6560"/>
            <w:shd w:fill="FAFBFC"/>
            <w:vAlign w:val="center"/>
            <w:tcMar>
              <w:top w:w="80" w:type="dxa"/>
              <w:start w:w="120" w:type="dxa"/>
              <w:bottom w:w="80" w:type="dxa"/>
              <w:end w:w="120" w:type="dxa"/>
            </w:tcMar>
          </w:tcPr>
          <w:p>
            <w:pPr>
              <w:spacing w:after="0"/>
            </w:pPr>
            <w:r>
              <w:rPr>
                <w:rFonts w:ascii="Calibri" w:hAnsi="Calibri"/>
                <w:b w:val="0"/>
                <w:color w:val="000000"/>
                <w:sz w:val="18"/>
              </w:rPr>
              <w:t>$20,451M x (1 - 20.34%) = $16,291.23M</w:t>
            </w:r>
          </w:p>
        </w:tc>
      </w:tr>
      <w:tr>
        <w:tc>
          <w:tcPr>
            <w:tcW w:type="dxa" w:w="2800"/>
            <w:vAlign w:val="center"/>
            <w:tcMar>
              <w:top w:w="80" w:type="dxa"/>
              <w:start w:w="120" w:type="dxa"/>
              <w:bottom w:w="80" w:type="dxa"/>
              <w:end w:w="120" w:type="dxa"/>
            </w:tcMar>
          </w:tcPr>
          <w:p>
            <w:pPr>
              <w:spacing w:after="0"/>
            </w:pPr>
            <w:r>
              <w:rPr>
                <w:rFonts w:ascii="Calibri" w:hAnsi="Calibri"/>
                <w:b/>
                <w:color w:val="000000"/>
                <w:sz w:val="18"/>
              </w:rPr>
              <w:t>Textbook FCF</w:t>
            </w:r>
          </w:p>
        </w:tc>
        <w:tc>
          <w:tcPr>
            <w:tcW w:type="dxa" w:w="6560"/>
            <w:vAlign w:val="center"/>
            <w:tcMar>
              <w:top w:w="80" w:type="dxa"/>
              <w:start w:w="120" w:type="dxa"/>
              <w:bottom w:w="80" w:type="dxa"/>
              <w:end w:w="120" w:type="dxa"/>
            </w:tcMar>
          </w:tcPr>
          <w:p>
            <w:pPr>
              <w:spacing w:after="0"/>
            </w:pPr>
            <w:r>
              <w:rPr>
                <w:rFonts w:ascii="Calibri" w:hAnsi="Calibri"/>
                <w:b w:val="0"/>
                <w:color w:val="000000"/>
                <w:sz w:val="18"/>
              </w:rPr>
              <w:t>$16,291.23M + $2,847M - $3,773M - $499M = $14,866.23M</w:t>
            </w:r>
          </w:p>
        </w:tc>
      </w:tr>
      <w:tr>
        <w:tc>
          <w:tcPr>
            <w:tcW w:type="dxa" w:w="2800"/>
            <w:shd w:fill="FAFBFC"/>
            <w:vAlign w:val="center"/>
            <w:tcMar>
              <w:top w:w="80" w:type="dxa"/>
              <w:start w:w="120" w:type="dxa"/>
              <w:bottom w:w="80" w:type="dxa"/>
              <w:end w:w="120" w:type="dxa"/>
            </w:tcMar>
          </w:tcPr>
          <w:p>
            <w:pPr>
              <w:spacing w:after="0"/>
            </w:pPr>
            <w:r>
              <w:rPr>
                <w:rFonts w:ascii="Calibri" w:hAnsi="Calibri"/>
                <w:b/>
                <w:color w:val="000000"/>
                <w:sz w:val="18"/>
              </w:rPr>
              <w:t>Cash FCF</w:t>
            </w:r>
          </w:p>
        </w:tc>
        <w:tc>
          <w:tcPr>
            <w:tcW w:type="dxa" w:w="6560"/>
            <w:shd w:fill="FAFBFC"/>
            <w:vAlign w:val="center"/>
            <w:tcMar>
              <w:top w:w="80" w:type="dxa"/>
              <w:start w:w="120" w:type="dxa"/>
              <w:bottom w:w="80" w:type="dxa"/>
              <w:end w:w="120" w:type="dxa"/>
            </w:tcMar>
          </w:tcPr>
          <w:p>
            <w:pPr>
              <w:spacing w:after="0"/>
            </w:pPr>
            <w:r>
              <w:rPr>
                <w:rFonts w:ascii="Calibri" w:hAnsi="Calibri"/>
                <w:b w:val="0"/>
                <w:color w:val="000000"/>
                <w:sz w:val="18"/>
              </w:rPr>
              <w:t>$17,817M - $3,773M = $14,044M</w:t>
            </w:r>
          </w:p>
        </w:tc>
      </w:tr>
      <w:tr>
        <w:tc>
          <w:tcPr>
            <w:tcW w:type="dxa" w:w="2800"/>
            <w:vAlign w:val="center"/>
            <w:tcMar>
              <w:top w:w="80" w:type="dxa"/>
              <w:start w:w="120" w:type="dxa"/>
              <w:bottom w:w="80" w:type="dxa"/>
              <w:end w:w="120" w:type="dxa"/>
            </w:tcMar>
          </w:tcPr>
          <w:p>
            <w:pPr>
              <w:spacing w:after="0"/>
            </w:pPr>
            <w:r>
              <w:rPr>
                <w:rFonts w:ascii="Calibri" w:hAnsi="Calibri"/>
                <w:b/>
                <w:color w:val="000000"/>
                <w:sz w:val="18"/>
              </w:rPr>
              <w:t>P&amp;G adjusted FCF</w:t>
            </w:r>
          </w:p>
        </w:tc>
        <w:tc>
          <w:tcPr>
            <w:tcW w:type="dxa" w:w="6560"/>
            <w:vAlign w:val="center"/>
            <w:tcMar>
              <w:top w:w="80" w:type="dxa"/>
              <w:start w:w="120" w:type="dxa"/>
              <w:bottom w:w="80" w:type="dxa"/>
              <w:end w:w="120" w:type="dxa"/>
            </w:tcMar>
          </w:tcPr>
          <w:p>
            <w:pPr>
              <w:spacing w:after="0"/>
            </w:pPr>
            <w:r>
              <w:rPr>
                <w:rFonts w:ascii="Calibri" w:hAnsi="Calibri"/>
                <w:b w:val="0"/>
                <w:color w:val="000000"/>
                <w:sz w:val="18"/>
              </w:rPr>
              <w:t>$14,044M + $562M = $14,606M (non-GAAP)</w:t>
            </w:r>
          </w:p>
        </w:tc>
      </w:tr>
      <w:tr>
        <w:tc>
          <w:tcPr>
            <w:tcW w:type="dxa" w:w="2800"/>
            <w:shd w:fill="FAFBFC"/>
            <w:vAlign w:val="center"/>
            <w:tcMar>
              <w:top w:w="80" w:type="dxa"/>
              <w:start w:w="120" w:type="dxa"/>
              <w:bottom w:w="80" w:type="dxa"/>
              <w:end w:w="120" w:type="dxa"/>
            </w:tcMar>
          </w:tcPr>
          <w:p>
            <w:pPr>
              <w:spacing w:after="0"/>
            </w:pPr>
            <w:r>
              <w:rPr>
                <w:rFonts w:ascii="Calibri" w:hAnsi="Calibri"/>
                <w:b/>
                <w:color w:val="000000"/>
                <w:sz w:val="18"/>
              </w:rPr>
              <w:t>Sales CAGR</w:t>
            </w:r>
          </w:p>
        </w:tc>
        <w:tc>
          <w:tcPr>
            <w:tcW w:type="dxa" w:w="6560"/>
            <w:shd w:fill="FAFBFC"/>
            <w:vAlign w:val="center"/>
            <w:tcMar>
              <w:top w:w="80" w:type="dxa"/>
              <w:start w:w="120" w:type="dxa"/>
              <w:bottom w:w="80" w:type="dxa"/>
              <w:end w:w="120" w:type="dxa"/>
            </w:tcMar>
          </w:tcPr>
          <w:p>
            <w:pPr>
              <w:spacing w:after="0"/>
            </w:pPr>
            <w:r>
              <w:rPr>
                <w:rFonts w:ascii="Calibri" w:hAnsi="Calibri"/>
                <w:b w:val="0"/>
                <w:color w:val="000000"/>
                <w:sz w:val="18"/>
              </w:rPr>
              <w:t>2.58% over four intervals</w:t>
            </w:r>
          </w:p>
        </w:tc>
      </w:tr>
      <w:tr>
        <w:tc>
          <w:tcPr>
            <w:tcW w:type="dxa" w:w="2800"/>
            <w:vAlign w:val="center"/>
            <w:tcMar>
              <w:top w:w="80" w:type="dxa"/>
              <w:start w:w="120" w:type="dxa"/>
              <w:bottom w:w="80" w:type="dxa"/>
              <w:end w:w="120" w:type="dxa"/>
            </w:tcMar>
          </w:tcPr>
          <w:p>
            <w:pPr>
              <w:spacing w:after="0"/>
            </w:pPr>
            <w:r>
              <w:rPr>
                <w:rFonts w:ascii="Calibri" w:hAnsi="Calibri"/>
                <w:b/>
                <w:color w:val="000000"/>
                <w:sz w:val="18"/>
              </w:rPr>
              <w:t>EPS CAGR</w:t>
            </w:r>
          </w:p>
        </w:tc>
        <w:tc>
          <w:tcPr>
            <w:tcW w:type="dxa" w:w="6560"/>
            <w:vAlign w:val="center"/>
            <w:tcMar>
              <w:top w:w="80" w:type="dxa"/>
              <w:start w:w="120" w:type="dxa"/>
              <w:bottom w:w="80" w:type="dxa"/>
              <w:end w:w="120" w:type="dxa"/>
            </w:tcMar>
          </w:tcPr>
          <w:p>
            <w:pPr>
              <w:spacing w:after="0"/>
            </w:pPr>
            <w:r>
              <w:rPr>
                <w:rFonts w:ascii="Calibri" w:hAnsi="Calibri"/>
                <w:b w:val="0"/>
                <w:color w:val="000000"/>
                <w:sz w:val="18"/>
              </w:rPr>
              <w:t>4.30% over four intervals</w:t>
            </w:r>
          </w:p>
        </w:tc>
      </w:tr>
      <w:tr>
        <w:tc>
          <w:tcPr>
            <w:tcW w:type="dxa" w:w="2800"/>
            <w:shd w:fill="FAFBFC"/>
            <w:vAlign w:val="center"/>
            <w:tcMar>
              <w:top w:w="80" w:type="dxa"/>
              <w:start w:w="120" w:type="dxa"/>
              <w:bottom w:w="80" w:type="dxa"/>
              <w:end w:w="120" w:type="dxa"/>
            </w:tcMar>
          </w:tcPr>
          <w:p>
            <w:pPr>
              <w:spacing w:after="0"/>
            </w:pPr>
            <w:r>
              <w:rPr>
                <w:rFonts w:ascii="Calibri" w:hAnsi="Calibri"/>
                <w:b/>
                <w:color w:val="000000"/>
                <w:sz w:val="18"/>
              </w:rPr>
              <w:t>DuPont ROE</w:t>
            </w:r>
          </w:p>
        </w:tc>
        <w:tc>
          <w:tcPr>
            <w:tcW w:type="dxa" w:w="6560"/>
            <w:shd w:fill="FAFBFC"/>
            <w:vAlign w:val="center"/>
            <w:tcMar>
              <w:top w:w="80" w:type="dxa"/>
              <w:start w:w="120" w:type="dxa"/>
              <w:bottom w:w="80" w:type="dxa"/>
              <w:end w:w="120" w:type="dxa"/>
            </w:tcMar>
          </w:tcPr>
          <w:p>
            <w:pPr>
              <w:spacing w:after="0"/>
            </w:pPr>
            <w:r>
              <w:rPr>
                <w:rFonts w:ascii="Calibri" w:hAnsi="Calibri"/>
                <w:b w:val="0"/>
                <w:color w:val="000000"/>
                <w:sz w:val="18"/>
              </w:rPr>
              <w:t>19.06% x 0.6808x x 2.4076x = 31.24%</w:t>
            </w:r>
          </w:p>
        </w:tc>
      </w:tr>
    </w:tbl>
    <w:p>
      <w:pPr>
        <w:spacing w:after="0"/>
      </w:pPr>
    </w:p>
    <w:p>
      <w:pPr>
        <w:pStyle w:val="Heading1"/>
      </w:pPr>
      <w:r>
        <w:t>Appendix B - Oral Readiness Questions</w:t>
      </w:r>
    </w:p>
    <w:p>
      <w:pPr>
        <w:pStyle w:val="ListBullet"/>
      </w:pPr>
      <w:r>
        <w:t>Why is interest expense excluded from EBIT?</w:t>
      </w:r>
    </w:p>
    <w:p>
      <w:pPr>
        <w:pStyle w:val="ListBullet"/>
      </w:pPr>
      <w:r>
        <w:t>Why is depreciation and amortization added back in textbook FCF?</w:t>
      </w:r>
    </w:p>
    <w:p>
      <w:pPr>
        <w:pStyle w:val="ListBullet"/>
      </w:pPr>
      <w:r>
        <w:t>Why does an increase in operating NOWC reduce FCF?</w:t>
      </w:r>
    </w:p>
    <w:p>
      <w:pPr>
        <w:pStyle w:val="ListBullet"/>
      </w:pPr>
      <w:r>
        <w:t>Why can textbook FCF differ from CFO minus CapEx without either measure being automatically wrong?</w:t>
      </w:r>
    </w:p>
    <w:p>
      <w:pPr>
        <w:pStyle w:val="ListBullet"/>
      </w:pPr>
      <w:r>
        <w:t>Why is P&amp;G adjusted FCF non-GAAP?</w:t>
      </w:r>
    </w:p>
    <w:p>
      <w:pPr>
        <w:pStyle w:val="ListBullet"/>
      </w:pPr>
      <w:r>
        <w:t>Why does CAGR use a one-fourth exponent across five annual observations?</w:t>
      </w:r>
    </w:p>
    <w:p>
      <w:pPr>
        <w:pStyle w:val="ListBullet"/>
      </w:pPr>
      <w:r>
        <w:t>Why use average assets and equity in DuPont analysis?</w:t>
      </w:r>
    </w:p>
    <w:p>
      <w:pPr>
        <w:pStyle w:val="ListBullet"/>
      </w:pPr>
      <w:r>
        <w:t>How can a high equity multiplier raise both ROE and risk?</w:t>
      </w:r>
    </w:p>
    <w:p>
      <w:pPr>
        <w:pStyle w:val="ListBullet"/>
      </w:pPr>
      <w:r>
        <w:t>Where does the program convert a raw negative CapEx to a positive magnitude?</w:t>
      </w:r>
    </w:p>
    <w:p>
      <w:pPr>
        <w:pStyle w:val="ListBullet"/>
      </w:pPr>
      <w:r>
        <w:t>Which statement in the program prevents a bad chart from being exported?</w:t>
      </w:r>
    </w:p>
    <w:p>
      <w:pPr>
        <w:pStyle w:val="ListBullet"/>
      </w:pPr>
      <w:r>
        <w:t>What was your team's meaningful human correction?</w:t>
      </w:r>
    </w:p>
    <w:p>
      <w:pPr>
        <w:pStyle w:val="ListBullet"/>
      </w:pPr>
      <w:r>
        <w:t>What important risk or forward-looking factor is missing from the dashboard?</w:t>
      </w:r>
    </w:p>
    <w:sectPr w:rsidR="00FC693F" w:rsidRPr="0006063C" w:rsidSect="00034616">
      <w:headerReference w:type="default" r:id="rId9"/>
      <w:footerReference w:type="default" r:id="rId10"/>
      <w:pgSz w:w="12240" w:h="15840"/>
      <w:pgMar w:top="1152"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B5563"/>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4B5563"/>
        <w:sz w:val="17"/>
      </w:rPr>
      <w:t>FINC 310 | P&amp;G Financial Story | Student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16" w:right="216"/>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