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BAB3F" w14:textId="77777777" w:rsidR="0022290A" w:rsidRDefault="00C07C79" w:rsidP="00C07C79">
      <w:pPr>
        <w:rPr>
          <w:rFonts w:ascii="Times New Roman" w:hAnsi="Times New Roman" w:cs="Times New Roman"/>
          <w:bCs/>
          <w:i/>
          <w:color w:val="000000" w:themeColor="text1"/>
          <w:shd w:val="clear" w:color="auto" w:fill="FFFFFF"/>
        </w:rPr>
      </w:pPr>
      <w:r w:rsidRPr="0022290A">
        <w:rPr>
          <w:rFonts w:ascii="Times New Roman" w:hAnsi="Times New Roman" w:cs="Times New Roman"/>
          <w:bCs/>
          <w:i/>
          <w:color w:val="000000" w:themeColor="text1"/>
          <w:shd w:val="clear" w:color="auto" w:fill="FFFFFF"/>
        </w:rPr>
        <w:t xml:space="preserve">How do you determine which training vehicles to use with which audiences? When would you use a video or a series of videos to describe a product? When would you use a website? When would you create a detailed manual with graphics? </w:t>
      </w:r>
    </w:p>
    <w:p w14:paraId="1B083AE9" w14:textId="12B52791" w:rsidR="00F27B42" w:rsidRPr="0022290A" w:rsidRDefault="00C07C79" w:rsidP="00C07C79">
      <w:pPr>
        <w:rPr>
          <w:rFonts w:ascii="Times New Roman" w:hAnsi="Times New Roman" w:cs="Times New Roman"/>
          <w:bCs/>
          <w:i/>
          <w:color w:val="000000" w:themeColor="text1"/>
          <w:shd w:val="clear" w:color="auto" w:fill="FFFFFF"/>
        </w:rPr>
      </w:pPr>
      <w:r w:rsidRPr="0022290A">
        <w:rPr>
          <w:rFonts w:ascii="Times New Roman" w:hAnsi="Times New Roman" w:cs="Times New Roman"/>
          <w:bCs/>
          <w:i/>
          <w:color w:val="000000" w:themeColor="text1"/>
          <w:shd w:val="clear" w:color="auto" w:fill="FFFFFF"/>
        </w:rPr>
        <w:t xml:space="preserve">For this discussion, based on your readings and research so far, and as a guide for your technical writing team, describe the framework you would construct to help decide which training vehicle would be appropriate in which situation for which audience. </w:t>
      </w:r>
    </w:p>
    <w:p w14:paraId="37BE1235" w14:textId="11DB0980" w:rsidR="00C07C79" w:rsidRPr="0022290A" w:rsidRDefault="00C07C79" w:rsidP="00C07C79">
      <w:pPr>
        <w:rPr>
          <w:rFonts w:ascii="Times New Roman" w:hAnsi="Times New Roman" w:cs="Times New Roman"/>
          <w:bCs/>
          <w:i/>
          <w:color w:val="000000" w:themeColor="text1"/>
          <w:shd w:val="clear" w:color="auto" w:fill="FFFFFF"/>
        </w:rPr>
      </w:pPr>
      <w:r w:rsidRPr="0022290A">
        <w:rPr>
          <w:rFonts w:ascii="Times New Roman" w:hAnsi="Times New Roman" w:cs="Times New Roman"/>
          <w:bCs/>
          <w:i/>
          <w:color w:val="000000" w:themeColor="text1"/>
          <w:shd w:val="clear" w:color="auto" w:fill="FFFFFF"/>
        </w:rPr>
        <w:t>In response to your peers, comment on their reasoning and framework for deciding which vehicles and channels of communication to use. Discuss the similarities to, and differences from, your stated framework.</w:t>
      </w:r>
    </w:p>
    <w:p w14:paraId="6833FFF9" w14:textId="738B07FB" w:rsidR="00943D04" w:rsidRPr="00971742" w:rsidRDefault="00943D04" w:rsidP="00943D04">
      <w:pPr>
        <w:rPr>
          <w:rFonts w:ascii="Times New Roman" w:hAnsi="Times New Roman" w:cs="Times New Roman"/>
          <w:bCs/>
          <w:color w:val="000000" w:themeColor="text1"/>
          <w:shd w:val="clear" w:color="auto" w:fill="FFFFFF"/>
        </w:rPr>
      </w:pPr>
      <w:r w:rsidRPr="00971742">
        <w:rPr>
          <w:rFonts w:ascii="Times New Roman" w:hAnsi="Times New Roman" w:cs="Times New Roman"/>
          <w:bCs/>
          <w:color w:val="000000" w:themeColor="text1"/>
          <w:shd w:val="clear" w:color="auto" w:fill="FFFFFF"/>
        </w:rPr>
        <w:t xml:space="preserve">My organization is a state-wide government agency responsible for providing </w:t>
      </w:r>
      <w:r w:rsidRPr="00971742">
        <w:rPr>
          <w:rFonts w:ascii="Times New Roman" w:hAnsi="Times New Roman" w:cs="Times New Roman"/>
          <w:bCs/>
          <w:color w:val="000000" w:themeColor="text1"/>
          <w:shd w:val="clear" w:color="auto" w:fill="FFFFFF"/>
        </w:rPr>
        <w:t>legal representation in Massachusetts for those unable to afford an attorney in all matters in which the law requires the appointment of counsel. Welcome to the website of the Massachusetts Committee for Public Counsel Services. The Committee, a 15-member body appointed by the Governor, the Speaker of the House of Representatives, the President of the Senate, and the Massachusetts Supreme Judicial Court, oversees the provision of legal representation to indigent persons in criminal and civil cases and administrative proceedings in which there is a right to counsel.</w:t>
      </w:r>
    </w:p>
    <w:p w14:paraId="72C3FBDE" w14:textId="63A26277" w:rsidR="00831072" w:rsidRPr="00971742" w:rsidRDefault="00943D04" w:rsidP="00943D04">
      <w:pPr>
        <w:rPr>
          <w:rFonts w:ascii="Times New Roman" w:hAnsi="Times New Roman" w:cs="Times New Roman"/>
          <w:bCs/>
          <w:color w:val="000000" w:themeColor="text1"/>
          <w:shd w:val="clear" w:color="auto" w:fill="FFFFFF"/>
        </w:rPr>
      </w:pPr>
      <w:r w:rsidRPr="00971742">
        <w:rPr>
          <w:rFonts w:ascii="Times New Roman" w:hAnsi="Times New Roman" w:cs="Times New Roman"/>
          <w:bCs/>
          <w:color w:val="000000" w:themeColor="text1"/>
          <w:shd w:val="clear" w:color="auto" w:fill="FFFFFF"/>
        </w:rPr>
        <w:t xml:space="preserve">Most representation is provided by approximately </w:t>
      </w:r>
      <w:r w:rsidRPr="00971742">
        <w:rPr>
          <w:rFonts w:ascii="Times New Roman" w:hAnsi="Times New Roman" w:cs="Times New Roman"/>
          <w:b/>
          <w:bCs/>
          <w:color w:val="000000" w:themeColor="text1"/>
          <w:shd w:val="clear" w:color="auto" w:fill="FFFFFF"/>
        </w:rPr>
        <w:t>3,000 private attorneys</w:t>
      </w:r>
      <w:r w:rsidRPr="00971742">
        <w:rPr>
          <w:rFonts w:ascii="Times New Roman" w:hAnsi="Times New Roman" w:cs="Times New Roman"/>
          <w:bCs/>
          <w:color w:val="000000" w:themeColor="text1"/>
          <w:shd w:val="clear" w:color="auto" w:fill="FFFFFF"/>
        </w:rPr>
        <w:t xml:space="preserve"> trained and certified to accept appointments. Support for and supervision of these attorneys is provided by the Private Counsel Division (for criminal cases and related matters), the Children and Family Law Division (for child welfare cases), the Youth Advocacy Division (for delinquency, youthful offender, and </w:t>
      </w:r>
      <w:r w:rsidRPr="00971742">
        <w:rPr>
          <w:rFonts w:ascii="Times New Roman" w:hAnsi="Times New Roman" w:cs="Times New Roman"/>
          <w:bCs/>
          <w:color w:val="000000" w:themeColor="text1"/>
          <w:shd w:val="clear" w:color="auto" w:fill="FFFFFF"/>
        </w:rPr>
        <w:lastRenderedPageBreak/>
        <w:t xml:space="preserve">GCL revocation cases), and the Mental Health Division (for guardianships and mental health/substance abuse commitments).  </w:t>
      </w:r>
    </w:p>
    <w:p w14:paraId="67A861F2" w14:textId="26A635D1" w:rsidR="00831072" w:rsidRPr="00971742" w:rsidRDefault="00831072" w:rsidP="00943D04">
      <w:pPr>
        <w:rPr>
          <w:rFonts w:ascii="Times New Roman" w:hAnsi="Times New Roman" w:cs="Times New Roman"/>
          <w:bCs/>
          <w:color w:val="000000" w:themeColor="text1"/>
          <w:shd w:val="clear" w:color="auto" w:fill="FFFFFF"/>
        </w:rPr>
      </w:pPr>
      <w:r w:rsidRPr="00971742">
        <w:rPr>
          <w:rFonts w:ascii="Times New Roman" w:hAnsi="Times New Roman" w:cs="Times New Roman"/>
          <w:bCs/>
          <w:color w:val="000000" w:themeColor="text1"/>
          <w:shd w:val="clear" w:color="auto" w:fill="FFFFFF"/>
        </w:rPr>
        <w:t>Other divisions include Administration and Finance, Human Resources</w:t>
      </w:r>
      <w:r w:rsidR="003B57D1">
        <w:rPr>
          <w:rFonts w:ascii="Times New Roman" w:hAnsi="Times New Roman" w:cs="Times New Roman"/>
          <w:bCs/>
          <w:color w:val="000000" w:themeColor="text1"/>
          <w:shd w:val="clear" w:color="auto" w:fill="FFFFFF"/>
        </w:rPr>
        <w:t xml:space="preserve"> and </w:t>
      </w:r>
      <w:r w:rsidR="003B57D1" w:rsidRPr="00971742">
        <w:rPr>
          <w:rFonts w:ascii="Times New Roman" w:hAnsi="Times New Roman" w:cs="Times New Roman"/>
          <w:bCs/>
          <w:color w:val="000000" w:themeColor="text1"/>
          <w:shd w:val="clear" w:color="auto" w:fill="FFFFFF"/>
        </w:rPr>
        <w:t>the Information Technology</w:t>
      </w:r>
      <w:r w:rsidRPr="00971742">
        <w:rPr>
          <w:rFonts w:ascii="Times New Roman" w:hAnsi="Times New Roman" w:cs="Times New Roman"/>
          <w:bCs/>
          <w:color w:val="000000" w:themeColor="text1"/>
          <w:shd w:val="clear" w:color="auto" w:fill="FFFFFF"/>
        </w:rPr>
        <w:t xml:space="preserve"> division</w:t>
      </w:r>
      <w:r w:rsidR="003B57D1">
        <w:rPr>
          <w:rFonts w:ascii="Times New Roman" w:hAnsi="Times New Roman" w:cs="Times New Roman"/>
          <w:bCs/>
          <w:color w:val="000000" w:themeColor="text1"/>
          <w:shd w:val="clear" w:color="auto" w:fill="FFFFFF"/>
        </w:rPr>
        <w:t xml:space="preserve"> (of which I am a member)</w:t>
      </w:r>
      <w:r w:rsidRPr="00971742">
        <w:rPr>
          <w:rFonts w:ascii="Times New Roman" w:hAnsi="Times New Roman" w:cs="Times New Roman"/>
          <w:bCs/>
          <w:color w:val="000000" w:themeColor="text1"/>
          <w:shd w:val="clear" w:color="auto" w:fill="FFFFFF"/>
        </w:rPr>
        <w:t>.</w:t>
      </w:r>
      <w:r w:rsidR="003B57D1">
        <w:rPr>
          <w:rFonts w:ascii="Times New Roman" w:hAnsi="Times New Roman" w:cs="Times New Roman"/>
          <w:bCs/>
          <w:color w:val="000000" w:themeColor="text1"/>
          <w:shd w:val="clear" w:color="auto" w:fill="FFFFFF"/>
        </w:rPr>
        <w:t xml:space="preserve">  </w:t>
      </w:r>
      <w:r w:rsidR="003B57D1" w:rsidRPr="003B57D1">
        <w:rPr>
          <w:rFonts w:ascii="Times New Roman" w:hAnsi="Times New Roman" w:cs="Times New Roman"/>
          <w:bCs/>
          <w:color w:val="000000" w:themeColor="text1"/>
          <w:shd w:val="clear" w:color="auto" w:fill="FFFFFF"/>
        </w:rPr>
        <w:t>The Information Technology Division enables and enhances the Agency’s abilities to deliver our mission and serve our clients. The Information Technology Division performs this function by delivering technology capabilities for Agency staff and private counsel partners.</w:t>
      </w:r>
      <w:bookmarkStart w:id="0" w:name="_GoBack"/>
      <w:bookmarkEnd w:id="0"/>
    </w:p>
    <w:p w14:paraId="670AA718" w14:textId="2685B6D6" w:rsidR="00943D04" w:rsidRPr="00971742" w:rsidRDefault="00943D04" w:rsidP="00943D04">
      <w:pPr>
        <w:rPr>
          <w:rFonts w:ascii="Times New Roman" w:hAnsi="Times New Roman" w:cs="Times New Roman"/>
          <w:bCs/>
          <w:color w:val="000000" w:themeColor="text1"/>
          <w:shd w:val="clear" w:color="auto" w:fill="FFFFFF"/>
        </w:rPr>
      </w:pPr>
      <w:r w:rsidRPr="00971742">
        <w:rPr>
          <w:rFonts w:ascii="Times New Roman" w:hAnsi="Times New Roman" w:cs="Times New Roman"/>
          <w:bCs/>
          <w:color w:val="000000" w:themeColor="text1"/>
          <w:shd w:val="clear" w:color="auto" w:fill="FFFFFF"/>
        </w:rPr>
        <w:t xml:space="preserve">Approximately </w:t>
      </w:r>
      <w:r w:rsidRPr="00971742">
        <w:rPr>
          <w:rFonts w:ascii="Times New Roman" w:hAnsi="Times New Roman" w:cs="Times New Roman"/>
          <w:b/>
          <w:bCs/>
          <w:color w:val="000000" w:themeColor="text1"/>
          <w:shd w:val="clear" w:color="auto" w:fill="FFFFFF"/>
        </w:rPr>
        <w:t>500 staff attorneys</w:t>
      </w:r>
      <w:r w:rsidRPr="00971742">
        <w:rPr>
          <w:rFonts w:ascii="Times New Roman" w:hAnsi="Times New Roman" w:cs="Times New Roman"/>
          <w:bCs/>
          <w:color w:val="000000" w:themeColor="text1"/>
          <w:shd w:val="clear" w:color="auto" w:fill="FFFFFF"/>
        </w:rPr>
        <w:t>, working in offices located across Massachusetts, provide representation to clients in Superior, District, Juvenile, and Probate and Family Court cases and in appeals of those cases.</w:t>
      </w:r>
    </w:p>
    <w:p w14:paraId="1D911E14" w14:textId="6493668C" w:rsidR="00943D04" w:rsidRPr="00971742" w:rsidRDefault="00943D04" w:rsidP="00943D04">
      <w:pPr>
        <w:rPr>
          <w:rFonts w:ascii="Times New Roman" w:hAnsi="Times New Roman" w:cs="Times New Roman"/>
          <w:bCs/>
          <w:color w:val="000000" w:themeColor="text1"/>
          <w:shd w:val="clear" w:color="auto" w:fill="FFFFFF"/>
        </w:rPr>
      </w:pPr>
      <w:r w:rsidRPr="00971742">
        <w:rPr>
          <w:rFonts w:ascii="Times New Roman" w:hAnsi="Times New Roman" w:cs="Times New Roman"/>
          <w:bCs/>
          <w:color w:val="000000" w:themeColor="text1"/>
          <w:shd w:val="clear" w:color="auto" w:fill="FFFFFF"/>
        </w:rPr>
        <w:t>The Chief Counsel, appointed by the Committee and assisted by the Senior Management Team, is responsible for the day-to-day operations of the agency.</w:t>
      </w:r>
    </w:p>
    <w:p w14:paraId="510B1988" w14:textId="118FBB30" w:rsidR="00CC6CA7" w:rsidRDefault="00CC6CA7">
      <w:pPr>
        <w:pBdr>
          <w:bottom w:val="single" w:sz="6" w:space="1" w:color="auto"/>
        </w:pBdr>
        <w:rPr>
          <w:rFonts w:ascii="Times New Roman" w:hAnsi="Times New Roman" w:cs="Times New Roman"/>
          <w:color w:val="000000" w:themeColor="text1"/>
        </w:rPr>
      </w:pPr>
      <w:r w:rsidRPr="00971742">
        <w:rPr>
          <w:rFonts w:ascii="Times New Roman" w:hAnsi="Times New Roman" w:cs="Times New Roman"/>
          <w:bCs/>
          <w:color w:val="000000" w:themeColor="text1"/>
          <w:shd w:val="clear" w:color="auto" w:fill="FFFFFF"/>
        </w:rPr>
        <w:t>Within my organization,</w:t>
      </w:r>
      <w:r w:rsidR="00831072" w:rsidRPr="00971742">
        <w:rPr>
          <w:rFonts w:ascii="Times New Roman" w:hAnsi="Times New Roman" w:cs="Times New Roman"/>
          <w:bCs/>
          <w:color w:val="000000" w:themeColor="text1"/>
          <w:shd w:val="clear" w:color="auto" w:fill="FFFFFF"/>
        </w:rPr>
        <w:t xml:space="preserve"> we found </w:t>
      </w:r>
      <w:r w:rsidRPr="00971742">
        <w:rPr>
          <w:rFonts w:ascii="Times New Roman" w:hAnsi="Times New Roman" w:cs="Times New Roman"/>
          <w:bCs/>
          <w:color w:val="000000" w:themeColor="text1"/>
          <w:shd w:val="clear" w:color="auto" w:fill="FFFFFF"/>
        </w:rPr>
        <w:t xml:space="preserve">the verbal communication </w:t>
      </w:r>
      <w:r w:rsidR="00831072" w:rsidRPr="00971742">
        <w:rPr>
          <w:rFonts w:ascii="Times New Roman" w:hAnsi="Times New Roman" w:cs="Times New Roman"/>
          <w:bCs/>
          <w:color w:val="000000" w:themeColor="text1"/>
          <w:shd w:val="clear" w:color="auto" w:fill="FFFFFF"/>
        </w:rPr>
        <w:t>strategy</w:t>
      </w:r>
      <w:r w:rsidR="00943D04" w:rsidRPr="00971742">
        <w:rPr>
          <w:rFonts w:ascii="Times New Roman" w:hAnsi="Times New Roman" w:cs="Times New Roman"/>
          <w:color w:val="000000" w:themeColor="text1"/>
        </w:rPr>
        <w:t xml:space="preserve"> to be the best </w:t>
      </w:r>
      <w:r w:rsidR="00943D04" w:rsidRPr="00971742">
        <w:rPr>
          <w:rFonts w:ascii="Times New Roman" w:hAnsi="Times New Roman" w:cs="Times New Roman"/>
          <w:color w:val="000000" w:themeColor="text1"/>
        </w:rPr>
        <w:t xml:space="preserve">and most effective </w:t>
      </w:r>
      <w:r w:rsidR="00D21A95" w:rsidRPr="00971742">
        <w:rPr>
          <w:rFonts w:ascii="Times New Roman" w:hAnsi="Times New Roman" w:cs="Times New Roman"/>
          <w:color w:val="000000" w:themeColor="text1"/>
        </w:rPr>
        <w:t>communication strategy</w:t>
      </w:r>
      <w:r w:rsidR="00377545">
        <w:rPr>
          <w:rFonts w:ascii="Times New Roman" w:hAnsi="Times New Roman" w:cs="Times New Roman"/>
          <w:color w:val="000000" w:themeColor="text1"/>
        </w:rPr>
        <w:t>; c</w:t>
      </w:r>
      <w:r w:rsidR="00D21A95" w:rsidRPr="00971742">
        <w:rPr>
          <w:rFonts w:ascii="Times New Roman" w:hAnsi="Times New Roman" w:cs="Times New Roman"/>
          <w:color w:val="000000" w:themeColor="text1"/>
        </w:rPr>
        <w:t>onsisting primarily of written communication via emails and internal newsletters</w:t>
      </w:r>
      <w:r w:rsidR="00971742" w:rsidRPr="00971742">
        <w:rPr>
          <w:rFonts w:ascii="Times New Roman" w:hAnsi="Times New Roman" w:cs="Times New Roman"/>
          <w:color w:val="000000" w:themeColor="text1"/>
        </w:rPr>
        <w:t xml:space="preserve"> within the agency</w:t>
      </w:r>
      <w:r w:rsidR="003B57D1">
        <w:rPr>
          <w:rFonts w:ascii="Times New Roman" w:hAnsi="Times New Roman" w:cs="Times New Roman"/>
          <w:color w:val="000000" w:themeColor="text1"/>
        </w:rPr>
        <w:t>.</w:t>
      </w:r>
      <w:r w:rsidR="00D21A95" w:rsidRPr="00971742">
        <w:rPr>
          <w:rFonts w:ascii="Times New Roman" w:hAnsi="Times New Roman" w:cs="Times New Roman"/>
          <w:color w:val="000000" w:themeColor="text1"/>
        </w:rPr>
        <w:t xml:space="preserve"> </w:t>
      </w:r>
      <w:r w:rsidR="003B57D1">
        <w:rPr>
          <w:rFonts w:ascii="Times New Roman" w:hAnsi="Times New Roman" w:cs="Times New Roman"/>
          <w:color w:val="000000" w:themeColor="text1"/>
        </w:rPr>
        <w:t>We</w:t>
      </w:r>
      <w:r w:rsidR="00D21A95" w:rsidRPr="00971742">
        <w:rPr>
          <w:rFonts w:ascii="Times New Roman" w:hAnsi="Times New Roman" w:cs="Times New Roman"/>
          <w:color w:val="000000" w:themeColor="text1"/>
        </w:rPr>
        <w:t xml:space="preserve"> also make</w:t>
      </w:r>
      <w:r w:rsidR="00971742" w:rsidRPr="00971742">
        <w:rPr>
          <w:rFonts w:ascii="Times New Roman" w:hAnsi="Times New Roman" w:cs="Times New Roman"/>
          <w:color w:val="000000" w:themeColor="text1"/>
        </w:rPr>
        <w:t xml:space="preserve"> use of video chats, phone calls and face-to-face conversations internally and externally (communication with clients, private attorneys and vendors) as needed or appropriate.</w:t>
      </w:r>
    </w:p>
    <w:p w14:paraId="3A65AAC4" w14:textId="77777777" w:rsidR="00BB396E" w:rsidRDefault="00377545" w:rsidP="00377545">
      <w:pPr>
        <w:pBdr>
          <w:bottom w:val="single" w:sz="6" w:space="1" w:color="auto"/>
        </w:pBdr>
        <w:rPr>
          <w:rFonts w:ascii="Times New Roman" w:hAnsi="Times New Roman" w:cs="Times New Roman"/>
          <w:bCs/>
          <w:color w:val="000000" w:themeColor="text1"/>
          <w:shd w:val="clear" w:color="auto" w:fill="FFFFFF"/>
        </w:rPr>
      </w:pPr>
      <w:r>
        <w:rPr>
          <w:rFonts w:ascii="Times New Roman" w:hAnsi="Times New Roman" w:cs="Times New Roman"/>
          <w:bCs/>
          <w:color w:val="000000" w:themeColor="text1"/>
          <w:shd w:val="clear" w:color="auto" w:fill="FFFFFF"/>
        </w:rPr>
        <w:t xml:space="preserve">The use of emails as the primary medium </w:t>
      </w:r>
      <w:r w:rsidR="00BB396E">
        <w:rPr>
          <w:rFonts w:ascii="Times New Roman" w:hAnsi="Times New Roman" w:cs="Times New Roman"/>
          <w:bCs/>
          <w:color w:val="000000" w:themeColor="text1"/>
          <w:shd w:val="clear" w:color="auto" w:fill="FFFFFF"/>
        </w:rPr>
        <w:t>for implementing</w:t>
      </w:r>
      <w:r>
        <w:rPr>
          <w:rFonts w:ascii="Times New Roman" w:hAnsi="Times New Roman" w:cs="Times New Roman"/>
          <w:bCs/>
          <w:color w:val="000000" w:themeColor="text1"/>
          <w:shd w:val="clear" w:color="auto" w:fill="FFFFFF"/>
        </w:rPr>
        <w:t xml:space="preserve"> our communication strategy is cost-effective</w:t>
      </w:r>
      <w:r w:rsidR="008B587A">
        <w:rPr>
          <w:rFonts w:ascii="Times New Roman" w:hAnsi="Times New Roman" w:cs="Times New Roman"/>
          <w:bCs/>
          <w:color w:val="000000" w:themeColor="text1"/>
          <w:shd w:val="clear" w:color="auto" w:fill="FFFFFF"/>
        </w:rPr>
        <w:t>, efficient</w:t>
      </w:r>
      <w:r w:rsidR="00BB396E">
        <w:rPr>
          <w:rFonts w:ascii="Times New Roman" w:hAnsi="Times New Roman" w:cs="Times New Roman"/>
          <w:bCs/>
          <w:color w:val="000000" w:themeColor="text1"/>
          <w:shd w:val="clear" w:color="auto" w:fill="FFFFFF"/>
        </w:rPr>
        <w:t xml:space="preserve"> and provides a means for archival consistent with state and federal requirements</w:t>
      </w:r>
      <w:r w:rsidR="008B587A">
        <w:rPr>
          <w:rFonts w:ascii="Times New Roman" w:hAnsi="Times New Roman" w:cs="Times New Roman"/>
          <w:bCs/>
          <w:color w:val="000000" w:themeColor="text1"/>
          <w:shd w:val="clear" w:color="auto" w:fill="FFFFFF"/>
        </w:rPr>
        <w:t>.</w:t>
      </w:r>
      <w:r>
        <w:rPr>
          <w:rFonts w:ascii="Times New Roman" w:hAnsi="Times New Roman" w:cs="Times New Roman"/>
          <w:bCs/>
          <w:color w:val="000000" w:themeColor="text1"/>
          <w:shd w:val="clear" w:color="auto" w:fill="FFFFFF"/>
        </w:rPr>
        <w:t xml:space="preserve"> </w:t>
      </w:r>
    </w:p>
    <w:p w14:paraId="79A8E3C3" w14:textId="77777777" w:rsidR="00BB396E" w:rsidRDefault="00BB396E" w:rsidP="00377545">
      <w:pPr>
        <w:pBdr>
          <w:bottom w:val="single" w:sz="6" w:space="1" w:color="auto"/>
        </w:pBdr>
        <w:rPr>
          <w:rFonts w:ascii="Times New Roman" w:hAnsi="Times New Roman" w:cs="Times New Roman"/>
          <w:color w:val="000000" w:themeColor="text1"/>
        </w:rPr>
      </w:pPr>
      <w:r>
        <w:rPr>
          <w:rFonts w:ascii="Times New Roman" w:hAnsi="Times New Roman" w:cs="Times New Roman"/>
          <w:bCs/>
          <w:color w:val="000000" w:themeColor="text1"/>
          <w:shd w:val="clear" w:color="auto" w:fill="FFFFFF"/>
        </w:rPr>
        <w:lastRenderedPageBreak/>
        <w:t>Emails</w:t>
      </w:r>
      <w:r w:rsidR="008B587A">
        <w:rPr>
          <w:rFonts w:ascii="Times New Roman" w:hAnsi="Times New Roman" w:cs="Times New Roman"/>
          <w:bCs/>
          <w:color w:val="000000" w:themeColor="text1"/>
          <w:shd w:val="clear" w:color="auto" w:fill="FFFFFF"/>
        </w:rPr>
        <w:t xml:space="preserve"> </w:t>
      </w:r>
      <w:r w:rsidR="00377545" w:rsidRPr="00971742">
        <w:rPr>
          <w:rFonts w:ascii="Times New Roman" w:hAnsi="Times New Roman" w:cs="Times New Roman"/>
          <w:color w:val="000000" w:themeColor="text1"/>
        </w:rPr>
        <w:t>educate</w:t>
      </w:r>
      <w:r w:rsidR="00377545">
        <w:rPr>
          <w:rFonts w:ascii="Times New Roman" w:hAnsi="Times New Roman" w:cs="Times New Roman"/>
          <w:color w:val="000000" w:themeColor="text1"/>
        </w:rPr>
        <w:t xml:space="preserve"> and inform</w:t>
      </w:r>
      <w:r w:rsidR="00377545" w:rsidRPr="00971742">
        <w:rPr>
          <w:rFonts w:ascii="Times New Roman" w:hAnsi="Times New Roman" w:cs="Times New Roman"/>
          <w:color w:val="000000" w:themeColor="text1"/>
        </w:rPr>
        <w:t xml:space="preserve"> the audience as much as possible about the service</w:t>
      </w:r>
      <w:r w:rsidR="00377545">
        <w:rPr>
          <w:rFonts w:ascii="Times New Roman" w:hAnsi="Times New Roman" w:cs="Times New Roman"/>
          <w:color w:val="000000" w:themeColor="text1"/>
        </w:rPr>
        <w:t>s we provide</w:t>
      </w:r>
      <w:r w:rsidR="008B587A">
        <w:rPr>
          <w:rFonts w:ascii="Times New Roman" w:hAnsi="Times New Roman" w:cs="Times New Roman"/>
          <w:color w:val="000000" w:themeColor="text1"/>
        </w:rPr>
        <w:t xml:space="preserve">, as quickly as possible, to a distributed </w:t>
      </w:r>
      <w:r>
        <w:rPr>
          <w:rFonts w:ascii="Times New Roman" w:hAnsi="Times New Roman" w:cs="Times New Roman"/>
          <w:color w:val="000000" w:themeColor="text1"/>
        </w:rPr>
        <w:t xml:space="preserve">and geographically dispersed </w:t>
      </w:r>
      <w:r w:rsidR="008B587A">
        <w:rPr>
          <w:rFonts w:ascii="Times New Roman" w:hAnsi="Times New Roman" w:cs="Times New Roman"/>
          <w:color w:val="000000" w:themeColor="text1"/>
        </w:rPr>
        <w:t>audience</w:t>
      </w:r>
      <w:r w:rsidR="00377545" w:rsidRPr="00971742">
        <w:rPr>
          <w:rFonts w:ascii="Times New Roman" w:hAnsi="Times New Roman" w:cs="Times New Roman"/>
          <w:color w:val="000000" w:themeColor="text1"/>
        </w:rPr>
        <w:t xml:space="preserve">. </w:t>
      </w:r>
    </w:p>
    <w:p w14:paraId="7135909D" w14:textId="6954EA2E" w:rsidR="00CC6CA7" w:rsidRDefault="00377545" w:rsidP="00377545">
      <w:pPr>
        <w:pBdr>
          <w:bottom w:val="single" w:sz="6" w:space="1" w:color="auto"/>
        </w:pBdr>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 xml:space="preserve">Strategically, </w:t>
      </w:r>
      <w:r w:rsidR="008B587A">
        <w:rPr>
          <w:rFonts w:ascii="Times New Roman" w:hAnsi="Times New Roman" w:cs="Times New Roman"/>
          <w:color w:val="000000" w:themeColor="text1"/>
        </w:rPr>
        <w:t xml:space="preserve">in conjunction with polls and surveys, </w:t>
      </w:r>
      <w:r>
        <w:rPr>
          <w:rFonts w:ascii="Times New Roman" w:hAnsi="Times New Roman" w:cs="Times New Roman"/>
          <w:color w:val="000000" w:themeColor="text1"/>
        </w:rPr>
        <w:t xml:space="preserve">it also serves as a medium </w:t>
      </w:r>
      <w:r w:rsidR="00CC6CA7" w:rsidRPr="00971742">
        <w:rPr>
          <w:rFonts w:ascii="Times New Roman" w:hAnsi="Times New Roman" w:cs="Times New Roman"/>
          <w:color w:val="000000" w:themeColor="text1"/>
          <w:shd w:val="clear" w:color="auto" w:fill="FFFFFF"/>
        </w:rPr>
        <w:t>to start and</w:t>
      </w:r>
      <w:r>
        <w:rPr>
          <w:rFonts w:ascii="Times New Roman" w:hAnsi="Times New Roman" w:cs="Times New Roman"/>
          <w:color w:val="000000" w:themeColor="text1"/>
          <w:shd w:val="clear" w:color="auto" w:fill="FFFFFF"/>
        </w:rPr>
        <w:t>/or</w:t>
      </w:r>
      <w:r w:rsidR="00CC6CA7" w:rsidRPr="00971742">
        <w:rPr>
          <w:rFonts w:ascii="Times New Roman" w:hAnsi="Times New Roman" w:cs="Times New Roman"/>
          <w:color w:val="000000" w:themeColor="text1"/>
          <w:shd w:val="clear" w:color="auto" w:fill="FFFFFF"/>
        </w:rPr>
        <w:t xml:space="preserve"> maintain conversation</w:t>
      </w:r>
      <w:r>
        <w:rPr>
          <w:rFonts w:ascii="Times New Roman" w:hAnsi="Times New Roman" w:cs="Times New Roman"/>
          <w:color w:val="000000" w:themeColor="text1"/>
          <w:shd w:val="clear" w:color="auto" w:fill="FFFFFF"/>
        </w:rPr>
        <w:t xml:space="preserve">s and </w:t>
      </w:r>
      <w:r w:rsidR="008B587A">
        <w:rPr>
          <w:rFonts w:ascii="Times New Roman" w:hAnsi="Times New Roman" w:cs="Times New Roman"/>
          <w:color w:val="000000" w:themeColor="text1"/>
          <w:shd w:val="clear" w:color="auto" w:fill="FFFFFF"/>
        </w:rPr>
        <w:t xml:space="preserve">get </w:t>
      </w:r>
      <w:r>
        <w:rPr>
          <w:rFonts w:ascii="Times New Roman" w:hAnsi="Times New Roman" w:cs="Times New Roman"/>
          <w:color w:val="000000" w:themeColor="text1"/>
          <w:shd w:val="clear" w:color="auto" w:fill="FFFFFF"/>
        </w:rPr>
        <w:t xml:space="preserve">feedback around </w:t>
      </w:r>
      <w:r w:rsidR="00BB396E">
        <w:rPr>
          <w:rFonts w:ascii="Times New Roman" w:hAnsi="Times New Roman" w:cs="Times New Roman"/>
          <w:color w:val="000000" w:themeColor="text1"/>
          <w:shd w:val="clear" w:color="auto" w:fill="FFFFFF"/>
        </w:rPr>
        <w:t>our</w:t>
      </w:r>
      <w:r>
        <w:rPr>
          <w:rFonts w:ascii="Times New Roman" w:hAnsi="Times New Roman" w:cs="Times New Roman"/>
          <w:color w:val="000000" w:themeColor="text1"/>
          <w:shd w:val="clear" w:color="auto" w:fill="FFFFFF"/>
        </w:rPr>
        <w:t xml:space="preserve"> services</w:t>
      </w:r>
      <w:r w:rsidR="00BB396E">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or products that support those services</w:t>
      </w:r>
      <w:r w:rsidR="00CC6CA7" w:rsidRPr="00971742">
        <w:rPr>
          <w:rFonts w:ascii="Times New Roman" w:hAnsi="Times New Roman" w:cs="Times New Roman"/>
          <w:color w:val="000000" w:themeColor="text1"/>
          <w:shd w:val="clear" w:color="auto" w:fill="FFFFFF"/>
        </w:rPr>
        <w:t>.</w:t>
      </w:r>
    </w:p>
    <w:p w14:paraId="6738D2C3" w14:textId="049299A5" w:rsidR="008B587A" w:rsidRDefault="008B587A" w:rsidP="00377545">
      <w:pPr>
        <w:pBdr>
          <w:bottom w:val="single" w:sz="6" w:space="1" w:color="auto"/>
        </w:pBdr>
        <w:rPr>
          <w:rFonts w:ascii="Times New Roman" w:hAnsi="Times New Roman" w:cs="Times New Roman"/>
          <w:color w:val="000000" w:themeColor="text1"/>
          <w:shd w:val="clear" w:color="auto" w:fill="FFFFFF"/>
        </w:rPr>
      </w:pPr>
    </w:p>
    <w:p w14:paraId="071D0E7C" w14:textId="00C15FBA" w:rsidR="003813FD" w:rsidRDefault="003813FD" w:rsidP="00377545">
      <w:pPr>
        <w:pBdr>
          <w:bottom w:val="single" w:sz="6" w:space="1" w:color="auto"/>
        </w:pBdr>
        <w:rPr>
          <w:rFonts w:ascii="Times New Roman" w:hAnsi="Times New Roman" w:cs="Times New Roman"/>
          <w:color w:val="000000" w:themeColor="text1"/>
          <w:shd w:val="clear" w:color="auto" w:fill="FFFFFF"/>
        </w:rPr>
      </w:pPr>
    </w:p>
    <w:p w14:paraId="15820A49" w14:textId="77777777" w:rsidR="003813FD" w:rsidRDefault="003813FD" w:rsidP="00377545">
      <w:pPr>
        <w:pBdr>
          <w:bottom w:val="single" w:sz="6" w:space="1" w:color="auto"/>
        </w:pBdr>
        <w:rPr>
          <w:rFonts w:ascii="Times New Roman" w:hAnsi="Times New Roman" w:cs="Times New Roman"/>
          <w:color w:val="000000" w:themeColor="text1"/>
          <w:shd w:val="clear" w:color="auto" w:fill="FFFFFF"/>
        </w:rPr>
      </w:pPr>
    </w:p>
    <w:p w14:paraId="677431D8" w14:textId="77777777" w:rsidR="008B587A" w:rsidRDefault="008B587A" w:rsidP="00377545">
      <w:pPr>
        <w:pBdr>
          <w:bottom w:val="single" w:sz="6" w:space="1" w:color="auto"/>
        </w:pBdr>
        <w:rPr>
          <w:rFonts w:ascii="Times New Roman" w:hAnsi="Times New Roman" w:cs="Times New Roman"/>
          <w:color w:val="000000" w:themeColor="text1"/>
          <w:shd w:val="clear" w:color="auto" w:fill="FFFFFF"/>
        </w:rPr>
      </w:pPr>
    </w:p>
    <w:sectPr w:rsidR="008B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6CA7"/>
    <w:rsid w:val="001E1F2C"/>
    <w:rsid w:val="0022290A"/>
    <w:rsid w:val="00327501"/>
    <w:rsid w:val="00377545"/>
    <w:rsid w:val="003813FD"/>
    <w:rsid w:val="003B57D1"/>
    <w:rsid w:val="00831072"/>
    <w:rsid w:val="00864379"/>
    <w:rsid w:val="008B587A"/>
    <w:rsid w:val="00943D04"/>
    <w:rsid w:val="00971742"/>
    <w:rsid w:val="00BB396E"/>
    <w:rsid w:val="00C07C79"/>
    <w:rsid w:val="00C515D4"/>
    <w:rsid w:val="00CC6CA7"/>
    <w:rsid w:val="00D21A95"/>
    <w:rsid w:val="00E554DE"/>
    <w:rsid w:val="00EE7748"/>
    <w:rsid w:val="00F2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E52F"/>
  <w15:chartTrackingRefBased/>
  <w15:docId w15:val="{AC60C32B-A2C6-4589-B835-46B448BB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240" w:after="24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F2C"/>
  </w:style>
  <w:style w:type="paragraph" w:styleId="Heading1">
    <w:name w:val="heading 1"/>
    <w:basedOn w:val="Normal"/>
    <w:next w:val="Normal"/>
    <w:link w:val="Heading1Char"/>
    <w:uiPriority w:val="9"/>
    <w:qFormat/>
    <w:rsid w:val="001E1F2C"/>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F2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72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dc:creator>
  <cp:keywords/>
  <dc:description/>
  <cp:lastModifiedBy>JohnA</cp:lastModifiedBy>
  <cp:revision>1</cp:revision>
  <dcterms:created xsi:type="dcterms:W3CDTF">2018-08-05T12:29:00Z</dcterms:created>
  <dcterms:modified xsi:type="dcterms:W3CDTF">2018-08-06T03:35:00Z</dcterms:modified>
</cp:coreProperties>
</file>