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8.png" ContentType="image/png"/>
  <Override PartName="/word/media/rId41.png" ContentType="image/png"/>
  <Override PartName="/word/media/rId32.png" ContentType="image/png"/>
  <Override PartName="/word/media/rId27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bookmarkStart w:id="26" w:name="markdown"/>
    <w:p>
      <w:pPr>
        <w:pStyle w:val="Heading1"/>
      </w:pPr>
      <w:r>
        <w:t xml:space="preserve">Markdown</w:t>
      </w:r>
    </w:p>
    <w:p>
      <w:pPr>
        <w:pStyle w:val="FirstParagraph"/>
      </w:pPr>
      <w:r>
        <w:t xml:space="preserve">Markdown is an easy to read and write text format:</w:t>
      </w:r>
    </w:p>
    <w:p>
      <w:pPr>
        <w:numPr>
          <w:ilvl w:val="0"/>
          <w:numId w:val="1001"/>
        </w:numPr>
        <w:pStyle w:val="Compact"/>
      </w:pPr>
      <w:r>
        <w:t xml:space="preserve">It’s</w:t>
      </w:r>
      <w:r>
        <w:t xml:space="preserve"> </w:t>
      </w:r>
      <w:r>
        <w:rPr>
          <w:iCs/>
          <w:i/>
        </w:rPr>
        <w:t xml:space="preserve">plain text</w:t>
      </w:r>
      <w:r>
        <w:t xml:space="preserve"> </w:t>
      </w:r>
      <w:r>
        <w:t xml:space="preserve">so works well with version control</w:t>
      </w:r>
    </w:p>
    <w:p>
      <w:pPr>
        <w:numPr>
          <w:ilvl w:val="0"/>
          <w:numId w:val="1001"/>
        </w:numPr>
        <w:pStyle w:val="Compact"/>
      </w:pPr>
      <w:r>
        <w:t xml:space="preserve">It can be</w:t>
      </w:r>
      <w:r>
        <w:t xml:space="preserve"> </w:t>
      </w:r>
      <w:r>
        <w:rPr>
          <w:bCs/>
          <w:b/>
        </w:rPr>
        <w:t xml:space="preserve">rendered</w:t>
      </w:r>
      <w:r>
        <w:t xml:space="preserve"> </w:t>
      </w:r>
      <w:r>
        <w:t xml:space="preserve">into HTML, PDF, and more</w:t>
      </w:r>
    </w:p>
    <w:p>
      <w:pPr>
        <w:numPr>
          <w:ilvl w:val="0"/>
          <w:numId w:val="1001"/>
        </w:numPr>
        <w:pStyle w:val="Compact"/>
      </w:pPr>
      <w:r>
        <w:t xml:space="preserve">Learn more at:</w:t>
      </w:r>
      <w:r>
        <w:t xml:space="preserve"> </w:t>
      </w:r>
      <w:hyperlink r:id="rId20">
        <w:r>
          <w:rPr>
            <w:rStyle w:val="Hyperlink"/>
          </w:rPr>
          <w:t xml:space="preserve">https://quarto.org/docs/authoring/</w:t>
        </w:r>
      </w:hyperlink>
    </w:p>
    <w:bookmarkStart w:id="21" w:name="code-cells"/>
    <w:p>
      <w:pPr>
        <w:pStyle w:val="Heading2"/>
      </w:pPr>
      <w:r>
        <w:t xml:space="preserve">Code Cells</w:t>
      </w:r>
    </w:p>
    <w:p>
      <w:pPr>
        <w:pStyle w:val="FirstParagraph"/>
      </w:pPr>
      <w:r>
        <w:t xml:space="preserve">Here is a Python code cell: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os.cpu_count()</w:t>
      </w:r>
    </w:p>
    <w:p>
      <w:pPr>
        <w:pStyle w:val="SourceCode"/>
      </w:pPr>
      <w:r>
        <w:rPr>
          <w:rStyle w:val="VerbatimChar"/>
        </w:rPr>
        <w:t xml:space="preserve">8</w:t>
      </w:r>
    </w:p>
    <w:bookmarkEnd w:id="21"/>
    <w:bookmarkStart w:id="25" w:name="equation"/>
    <w:p>
      <w:pPr>
        <w:pStyle w:val="Heading2"/>
      </w:pPr>
      <w:r>
        <w:t xml:space="preserve">Equation</w:t>
      </w:r>
    </w:p>
    <w:p>
      <w:pPr>
        <w:pStyle w:val="FirstParagraph"/>
      </w:pPr>
      <w:r>
        <w:t xml:space="preserve">Use LaTeX to write equations:</w:t>
      </w:r>
    </w:p>
    <w:p>
      <w:pPr>
        <w:pStyle w:val="BodyText"/>
      </w:pPr>
      <w:r>
        <w:t xml:space="preserve">inline math: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display math: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s</m:t>
                    </m:r>
                    <m:r>
                      <m:t>p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3</m:t>
                    </m:r>
                  </m:den>
                </m:f>
                <m:r>
                  <m:t>π</m:t>
                </m:r>
                <m:sSup>
                  <m:e>
                    <m:r>
                      <m:t>r</m:t>
                    </m:r>
                  </m:e>
                  <m:sup>
                    <m:r>
                      <m:t>3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idow</w:t>
      </w:r>
      <w:r>
        <w:t xml:space="preserve"> </w:t>
      </w:r>
      <w:r>
        <w:t xml:space="preserve">## Mermaid</w:t>
      </w:r>
    </w:p>
    <w:p>
      <w:pPr>
        <w:pStyle w:val="BodyText"/>
      </w:pPr>
      <w:r>
        <w:drawing>
          <wp:inline>
            <wp:extent cx="5248656" cy="128016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quarto_test_files\figure-docx\mermaid-fig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56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37" w:name="plot-examples"/>
    <w:p>
      <w:pPr>
        <w:pStyle w:val="Heading1"/>
      </w:pPr>
      <w:r>
        <w:t xml:space="preserve">Plot examples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polar"/>
          <w:p>
            <w:pPr>
              <w:pStyle w:val="Figure"/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quarto_test_files/figure-docx/fig-polar-outpu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30"/>
        </w:tc>
      </w:tr>
    </w:tbl>
    <w:bookmarkStart w:id="31" w:name="numpy"/>
    <w:p>
      <w:pPr>
        <w:pStyle w:val="Heading2"/>
      </w:pPr>
      <w:r>
        <w:t xml:space="preserve">NumPy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).reshape(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array([[ 0,  1,  2,  3,  4],</w:t>
      </w:r>
      <w:r>
        <w:br/>
      </w:r>
      <w:r>
        <w:rPr>
          <w:rStyle w:val="VerbatimChar"/>
        </w:rPr>
        <w:t xml:space="preserve">       [ 5,  6,  7,  8,  9],</w:t>
      </w:r>
      <w:r>
        <w:br/>
      </w:r>
      <w:r>
        <w:rPr>
          <w:rStyle w:val="VerbatimChar"/>
        </w:rPr>
        <w:t xml:space="preserve">       [10, 11, 12, 13, 14]])</w:t>
      </w:r>
    </w:p>
    <w:bookmarkEnd w:id="31"/>
    <w:bookmarkStart w:id="35" w:name="matplotlib"/>
    <w:p>
      <w:pPr>
        <w:pStyle w:val="Heading2"/>
      </w:pPr>
      <w:r>
        <w:t xml:space="preserve">Matplotlib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np.pi)</w:t>
      </w:r>
      <w:r>
        <w:br/>
      </w:r>
      <w:r>
        <w:rPr>
          <w:rStyle w:val="NormalTok"/>
        </w:rPr>
        <w:t xml:space="preserve">yerr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plt.errorbar(x,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yerr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yerr,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 limits (default)'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plt.errorbar(x,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yerr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yerr, uplims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'uplims=True'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plt.errorbar(x,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yerr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yerr, uplims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lolims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'uplims=True, lolims=True'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upperlimits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lowerlimits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plt.errorbar(x, y, yerr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yerr, uplims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upperlimits, lolims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lowerlimits,</w:t>
      </w:r>
      <w:r>
        <w:br/>
      </w:r>
      <w:r>
        <w:rPr>
          <w:rStyle w:val="NormalTok"/>
        </w:rPr>
        <w:t xml:space="preserve"> 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'subsets of uplims and lolims'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'lower right'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plt.show(fig)</w:t>
      </w:r>
    </w:p>
    <w:p>
      <w:pPr>
        <w:pStyle w:val="FirstParagraph"/>
      </w:pPr>
      <w:r>
        <w:drawing>
          <wp:inline>
            <wp:extent cx="3895725" cy="32099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quarto_test_files/figure-docx/cell-5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plotly"/>
    <w:p>
      <w:pPr>
        <w:pStyle w:val="Heading2"/>
      </w:pPr>
      <w:r>
        <w:t xml:space="preserve">Plotly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NormalTok"/>
        </w:rPr>
        <w:t xml:space="preserve">gapminder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px.data.gapminder()</w:t>
      </w:r>
      <w:r>
        <w:br/>
      </w:r>
      <w:r>
        <w:rPr>
          <w:rStyle w:val="NormalTok"/>
        </w:rPr>
        <w:t xml:space="preserve">gapminder2007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gapminder.query(</w:t>
      </w:r>
      <w:r>
        <w:rPr>
          <w:rStyle w:val="StringTok"/>
        </w:rPr>
        <w:t xml:space="preserve">"year == 2007"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px.scatter(gapminder2007, </w:t>
      </w:r>
      <w:r>
        <w:br/>
      </w:r>
      <w:r>
        <w:rPr>
          <w:rStyle w:val="NormalTok"/>
        </w:rPr>
        <w:t xml:space="preserve">             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"gdpPercap"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"lifeExp"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36"/>
    <w:bookmarkEnd w:id="37"/>
    <w:bookmarkStart w:id="49" w:name="callouts"/>
    <w:p>
      <w:pPr>
        <w:pStyle w:val="Heading1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 with Title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example of a callout with a title.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caution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Expand To Learn About Collapse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example of a</w:t>
            </w:r>
            <w:r>
              <w:t xml:space="preserve"> </w:t>
            </w:r>
            <w:r>
              <w:t xml:space="preserve">‘</w:t>
            </w:r>
            <w:r>
              <w:t xml:space="preserve">folded</w:t>
            </w:r>
            <w:r>
              <w:t xml:space="preserve">’</w:t>
            </w:r>
            <w:r>
              <w:t xml:space="preserve"> </w:t>
            </w:r>
            <w:r>
              <w:t xml:space="preserve">caution callout that can be expanded by the user. You can use</w:t>
            </w:r>
            <w:r>
              <w:t xml:space="preserve"> </w:t>
            </w:r>
            <w:r>
              <w:rPr>
                <w:rStyle w:val="VerbatimChar"/>
              </w:rPr>
              <w:t xml:space="preserve">collapse="true"</w:t>
            </w:r>
            <w:r>
              <w:t xml:space="preserve"> </w:t>
            </w:r>
            <w:r>
              <w:t xml:space="preserve">to collapse it by default or</w:t>
            </w:r>
            <w:r>
              <w:t xml:space="preserve"> </w:t>
            </w:r>
            <w:r>
              <w:rPr>
                <w:rStyle w:val="VerbatimChar"/>
              </w:rPr>
              <w:t xml:space="preserve">collapse="false"</w:t>
            </w:r>
            <w:r>
              <w:t xml:space="preserve"> </w:t>
            </w:r>
            <w:r>
              <w:t xml:space="preserve">to make a collapsible callout that is expanded by default.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Pay Attention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Using callouts is an effective way to highlight content that your reader give special consideration or attention.</w:t>
            </w:r>
          </w:p>
        </w:tc>
      </w:tr>
    </w:tbl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hyperlink" Id="rId20" Target="https://quarto.org/docs/author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2023-10-22T15:09:44Z</dcterms:created>
  <dcterms:modified xsi:type="dcterms:W3CDTF">2023-10-22T15:09:44Z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