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量价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PV_SyntheticMovingAverage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一级分类：PV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因子含义：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 xml:space="preserve"> Return prediction with regression coefficients for previous return and moving average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因子说明：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 xml:space="preserve"> 合成均线因子，用收益率对两日前的各日级均线回归，并预测后日的收益率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回归系数：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  <w:t>将每日收益率与2日前各日级均线数据线性回归，得到每日的回归系数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对回归系数进行平滑处理，即对过去22日取均值（不包括当日），得到当日回归系数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再用当日的回归系数与均线预测后天的收益率，并以此作为因子值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国泰君安证券《综合期限多样性的趋势选股策略——数量化专题之九十》</w:t>
      </w:r>
    </w:p>
    <w:p>
      <w:pPr>
        <w:outlineLvl w:val="2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9"/>
        <w:rPr>
          <w:rFonts w:hint="eastAsia" w:ascii="Times New Roman" w:hAnsi="Times New Roman" w:eastAsia="宋体" w:cs="Times New Roman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PV_SyntheticMovingAverage2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一级分类：PV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因子含义：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Return prediction with regression coefficients for previous returns and moving average, excluding data whose turnover is too high when</w:t>
      </w:r>
      <w:bookmarkStart w:id="1" w:name="_GoBack"/>
      <w:bookmarkEnd w:id="1"/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 xml:space="preserve"> regression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因子说明：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合成均线因子2，用收益率对两日前的各日级均线回归，并预测后日的收益率，在回归时去除了当日换手率较高的数据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3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逐日算出各日级均线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标记出换手率过高（大于当日所有股票中位数、大于自己近12日均值）的股票及日期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  <w:t>将每日收益率与2日前各日级均线数据线性回归，得到每日的回归系数，回归时去除换手率过高的数据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  <w:t>对回归系数进行平滑处理，即对过去22日取均值（不包括当日），再用当日的回归系数与均线预测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后天的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  <w:t>收益，并以此作为因子值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国泰君安证券《综合期限多样性的趋势选股策略——数量化专题之九十》</w:t>
      </w:r>
    </w:p>
    <w:p>
      <w:pPr>
        <w:outlineLvl w:val="2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CFDCF56"/>
    <w:multiLevelType w:val="singleLevel"/>
    <w:tmpl w:val="FCFDCF56"/>
    <w:lvl w:ilvl="0" w:tentative="0">
      <w:start w:val="1"/>
      <w:numFmt w:val="decimal"/>
      <w:lvlText w:val="%1."/>
      <w:lvlJc w:val="left"/>
    </w:lvl>
  </w:abstractNum>
  <w:abstractNum w:abstractNumId="2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4ED4D12"/>
    <w:rsid w:val="07B30C5D"/>
    <w:rsid w:val="13294A10"/>
    <w:rsid w:val="15B62576"/>
    <w:rsid w:val="18521C8B"/>
    <w:rsid w:val="1BB92B2E"/>
    <w:rsid w:val="1DFD2CB7"/>
    <w:rsid w:val="25FE7EB0"/>
    <w:rsid w:val="2A495775"/>
    <w:rsid w:val="2B246768"/>
    <w:rsid w:val="31D447F2"/>
    <w:rsid w:val="3A4D3E2C"/>
    <w:rsid w:val="3D9E2154"/>
    <w:rsid w:val="3DB20E32"/>
    <w:rsid w:val="40162F3F"/>
    <w:rsid w:val="45605813"/>
    <w:rsid w:val="4BDE5874"/>
    <w:rsid w:val="55D867FF"/>
    <w:rsid w:val="570100EC"/>
    <w:rsid w:val="6CCF5DEE"/>
    <w:rsid w:val="716E293A"/>
    <w:rsid w:val="72801E58"/>
    <w:rsid w:val="733D3517"/>
    <w:rsid w:val="73F11D78"/>
    <w:rsid w:val="78954616"/>
    <w:rsid w:val="7B9F5F31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3</TotalTime>
  <ScaleCrop>false</ScaleCrop>
  <LinksUpToDate>false</LinksUpToDate>
  <CharactersWithSpaces>266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2022-11-15T05:49:15Z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696F35200C0643F0A2679FE50910B7D7</vt:lpwstr>
  </property>
</Properties>
</file>