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动量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Momentum_Ret240_40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一级分类：Momentum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因子含义：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A momentum factor derived from returns of the closest 240 days minus the closest 40 days</w:t>
      </w:r>
      <w:bookmarkStart w:id="1" w:name="_GoBack"/>
      <w:bookmarkEnd w:id="1"/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因子说明：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小单动量因子，通过小单交易占比和换手率筛选日期后的涨跌幅平均值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回溯所有股票过去240个交易日中、去掉最近的40个交易日的数据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在剩下的200个交易日中，分别用每日的小单交易占比、换手率，各自划分为2个组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对每支股票，将其同时属于小单交易占比高组、换手率低组的交易日取出来，计算个股在这些交易日涨跌幅的平均值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国盛证券《“量价淘金”选股因子系列研究（二）：不同交易者结构下的动量与反转》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7B30C5D"/>
    <w:rsid w:val="0D5C46A6"/>
    <w:rsid w:val="119D4DFC"/>
    <w:rsid w:val="13294A10"/>
    <w:rsid w:val="15B62576"/>
    <w:rsid w:val="18521C8B"/>
    <w:rsid w:val="1BB92B2E"/>
    <w:rsid w:val="1DFD2CB7"/>
    <w:rsid w:val="25FE7EB0"/>
    <w:rsid w:val="2A495775"/>
    <w:rsid w:val="2B246768"/>
    <w:rsid w:val="31057FF7"/>
    <w:rsid w:val="3A4D3E2C"/>
    <w:rsid w:val="3D9E2154"/>
    <w:rsid w:val="3DB20E32"/>
    <w:rsid w:val="40162F3F"/>
    <w:rsid w:val="45605813"/>
    <w:rsid w:val="4BDE5874"/>
    <w:rsid w:val="52131D9E"/>
    <w:rsid w:val="55D867FF"/>
    <w:rsid w:val="65122229"/>
    <w:rsid w:val="6CCF5DEE"/>
    <w:rsid w:val="72801E58"/>
    <w:rsid w:val="733D3517"/>
    <w:rsid w:val="73F11D78"/>
    <w:rsid w:val="7620082D"/>
    <w:rsid w:val="78954616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7</TotalTime>
  <ScaleCrop>false</ScaleCrop>
  <LinksUpToDate>false</LinksUpToDate>
  <CharactersWithSpaces>266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2022-10-31T07:44:14Z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696F35200C0643F0A2679FE50910B7D7</vt:lpwstr>
  </property>
</Properties>
</file>