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流动性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Liquidity_Gamma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一级分类：Liquidity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因子含义：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The impact of directional trading amount on returns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因子说明：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增强非流动性因子，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带方向的成交额对收益率的影响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回溯过去30天的日收益率和交易额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用每日收益率序列对前一天收益率、当日收益率的sign函数*交易额进行回归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  <w:t>因子结果为收益率对后者的回归系数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中信建投证券《流动性因子系统解读与再增强》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4"/>
    <w:rsid w:val="000D1EF2"/>
    <w:rsid w:val="0012187F"/>
    <w:rsid w:val="001421DD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7B30C5D"/>
    <w:rsid w:val="0C131933"/>
    <w:rsid w:val="0D5C46A6"/>
    <w:rsid w:val="119D4DFC"/>
    <w:rsid w:val="13294A10"/>
    <w:rsid w:val="15B62576"/>
    <w:rsid w:val="18521C8B"/>
    <w:rsid w:val="1BB92B2E"/>
    <w:rsid w:val="1DFD2CB7"/>
    <w:rsid w:val="25FE7EB0"/>
    <w:rsid w:val="29620A37"/>
    <w:rsid w:val="2A203914"/>
    <w:rsid w:val="2A495775"/>
    <w:rsid w:val="2B246768"/>
    <w:rsid w:val="31057FF7"/>
    <w:rsid w:val="351E4E28"/>
    <w:rsid w:val="3A4D3E2C"/>
    <w:rsid w:val="3D9E2154"/>
    <w:rsid w:val="3DB20E32"/>
    <w:rsid w:val="40162F3F"/>
    <w:rsid w:val="45605813"/>
    <w:rsid w:val="4BDE5874"/>
    <w:rsid w:val="52131D9E"/>
    <w:rsid w:val="55D867FF"/>
    <w:rsid w:val="55EA659A"/>
    <w:rsid w:val="65122229"/>
    <w:rsid w:val="6CCF5DEE"/>
    <w:rsid w:val="72801E58"/>
    <w:rsid w:val="733D3517"/>
    <w:rsid w:val="73F11D78"/>
    <w:rsid w:val="7620082D"/>
    <w:rsid w:val="78954616"/>
    <w:rsid w:val="7E063F96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46</TotalTime>
  <ScaleCrop>false</ScaleCrop>
  <LinksUpToDate>false</LinksUpToDate>
  <CharactersWithSpaces>266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2022-11-01T03:34:40Z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696F35200C0643F0A2679FE50910B7D7</vt:lpwstr>
  </property>
</Properties>
</file>