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30"/>
          <w:szCs w:val="44"/>
        </w:rPr>
      </w:pPr>
      <w:bookmarkStart w:id="0" w:name="_Hlk5660410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/>
        </w:rPr>
        <w:t>股东</w:t>
      </w:r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  <w:t>因子</w:t>
      </w:r>
    </w:p>
    <w:bookmarkEnd w:id="0"/>
    <w:p>
      <w:pPr>
        <w:numPr>
          <w:ilvl w:val="1"/>
          <w:numId w:val="1"/>
        </w:numPr>
        <w:outlineLvl w:val="1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StockHolder_PerCapitaRatioChange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一级分类：StockHolder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二级分类：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三级分类：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因子编号：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</w:rPr>
        <w:t>因子含义：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Time-standardized shareholding per shareholder</w:t>
      </w:r>
    </w:p>
    <w:p>
      <w:pPr>
        <w:outlineLvl w:val="2"/>
        <w:rPr>
          <w:rFonts w:hint="default" w:ascii="Times New Roman" w:hAnsi="Times New Roman" w:eastAsia="宋体" w:cs="Times New Roman"/>
          <w:szCs w:val="24"/>
          <w:lang w:val="en-US"/>
        </w:rPr>
      </w:pPr>
      <w:r>
        <w:rPr>
          <w:rFonts w:hint="eastAsia" w:ascii="Times New Roman" w:hAnsi="Times New Roman" w:eastAsia="宋体" w:cs="Times New Roman"/>
          <w:szCs w:val="24"/>
        </w:rPr>
        <w:t>因子说明：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人均持股占比通过间隔3个月、窗口长度为8期的时序标准化后得到的结果</w:t>
      </w:r>
    </w:p>
    <w:p>
      <w:pPr>
        <w:outlineLvl w:val="2"/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因子算法：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ascii="Times New Roman" w:hAnsi="Times New Roman" w:eastAsia="宋体" w:cs="Times New Roman"/>
          <w:iCs/>
          <w:szCs w:val="24"/>
        </w:rPr>
      </w:pPr>
      <w:r>
        <w:rPr>
          <w:rFonts w:hint="eastAsia" w:ascii="Times New Roman" w:hAnsi="Times New Roman" w:eastAsia="宋体" w:cs="Times New Roman"/>
          <w:iCs/>
          <w:szCs w:val="24"/>
          <w:lang w:val="en-US" w:eastAsia="zh-CN"/>
        </w:rPr>
        <w:t>个股股东户数：早于当前日期发布的、且发布日期距今最近的、但截止日期距今不超过1年的公告中公布的股东户数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ascii="Times New Roman" w:hAnsi="Times New Roman" w:eastAsia="宋体" w:cs="Times New Roman"/>
          <w:iCs/>
          <w:szCs w:val="24"/>
        </w:rPr>
      </w:pPr>
      <w:r>
        <w:rPr>
          <w:rFonts w:hint="eastAsia" w:ascii="Times New Roman" w:hAnsi="Times New Roman" w:eastAsia="宋体" w:cs="Times New Roman"/>
          <w:iCs/>
          <w:szCs w:val="24"/>
        </w:rPr>
        <w:t>人均持股 = 当日自由流通股本 / 股东户数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ascii="Times New Roman" w:hAnsi="Times New Roman" w:eastAsia="宋体" w:cs="Times New Roman"/>
          <w:iCs/>
          <w:szCs w:val="24"/>
        </w:rPr>
      </w:pPr>
      <w:r>
        <w:rPr>
          <w:rFonts w:hint="eastAsia" w:ascii="Times New Roman" w:hAnsi="Times New Roman" w:eastAsia="宋体" w:cs="Times New Roman"/>
          <w:iCs/>
          <w:szCs w:val="24"/>
        </w:rPr>
        <w:t>对个股人均持股间隔3个月、滚动周期为8期进行时序标准化，得到结果</w:t>
      </w:r>
      <w:bookmarkStart w:id="1" w:name="_GoBack"/>
      <w:bookmarkEnd w:id="1"/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因子来源：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开源金工《扎堆效应的识别：以股东户数变动为例》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4AF903CE"/>
    <w:multiLevelType w:val="multilevel"/>
    <w:tmpl w:val="4AF903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RiMTVjNTIwNTI0NmY0ZTA4YmM0ZDQ5Y2I5OTNlYzQifQ=="/>
  </w:docVars>
  <w:rsids>
    <w:rsidRoot w:val="00431A44"/>
    <w:rsid w:val="000D1EF2"/>
    <w:rsid w:val="0012187F"/>
    <w:rsid w:val="00175659"/>
    <w:rsid w:val="00245A0B"/>
    <w:rsid w:val="0029666C"/>
    <w:rsid w:val="002B0268"/>
    <w:rsid w:val="002B2EF1"/>
    <w:rsid w:val="00300BAF"/>
    <w:rsid w:val="003A43E7"/>
    <w:rsid w:val="00431A44"/>
    <w:rsid w:val="00477F46"/>
    <w:rsid w:val="00661856"/>
    <w:rsid w:val="00733DE6"/>
    <w:rsid w:val="00805F15"/>
    <w:rsid w:val="00885088"/>
    <w:rsid w:val="009A7F2D"/>
    <w:rsid w:val="009C6A28"/>
    <w:rsid w:val="00A547A5"/>
    <w:rsid w:val="00A76497"/>
    <w:rsid w:val="00B15166"/>
    <w:rsid w:val="00BE0500"/>
    <w:rsid w:val="00C74BFE"/>
    <w:rsid w:val="00E2131C"/>
    <w:rsid w:val="00E21BD8"/>
    <w:rsid w:val="00E32573"/>
    <w:rsid w:val="00E52C0A"/>
    <w:rsid w:val="1C0E6BC3"/>
    <w:rsid w:val="45E15907"/>
    <w:rsid w:val="61190EE5"/>
    <w:rsid w:val="72626CF8"/>
    <w:rsid w:val="731A01D6"/>
    <w:rsid w:val="7CC0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255</Characters>
  <Lines>1</Lines>
  <Paragraphs>1</Paragraphs>
  <TotalTime>1</TotalTime>
  <ScaleCrop>false</ScaleCrop>
  <LinksUpToDate>false</LinksUpToDate>
  <CharactersWithSpaces>268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2021-02-24T08:01:00Z</dcterms:created>
  <dc:creator>王 维慷</dc:creator>
  <cp:lastModifiedBy>Severus</cp:lastModifiedBy>
  <dcterms:modified xsi:type="dcterms:W3CDTF">2022-11-23T09:29:26Z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CED9CBC606E6448B886630F39FFC4286</vt:lpwstr>
  </property>
</Properties>
</file>