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股东</w:t>
      </w:r>
      <w:bookmarkStart w:id="1" w:name="_GoBack"/>
      <w:bookmarkEnd w:id="1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StockHolder_HolderNumChange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一级分类：StockHolder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因子编号：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</w:rPr>
        <w:t>因子含义：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Time-standardized number of shareholders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因子说明：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股东户数通过间隔3个月、窗口长度为8期的时序标准化，得到的结果</w:t>
      </w:r>
    </w:p>
    <w:p>
      <w:pPr>
        <w:outlineLvl w:val="2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个股股东户数：早于当前日期发布的、且发布日期距今最近的、但截止日期距今不超过1年的公告中公布的股东户数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</w:rPr>
        <w:t>对个股间隔3个月、滚动周期为8期进行时序标准化，得到结果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因子来源：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开源金工《扎堆效应的识别：以股东户数变动为例》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iMTVjNTIwNTI0NmY0ZTA4YmM0ZDQ5Y2I5OTNlYzQifQ=="/>
  </w:docVars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1C0E6BC3"/>
    <w:rsid w:val="45E15907"/>
    <w:rsid w:val="72626CF8"/>
    <w:rsid w:val="731A01D6"/>
    <w:rsid w:val="7CC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263</Characters>
  <Lines>1</Lines>
  <Paragraphs>1</Paragraphs>
  <TotalTime>6</TotalTime>
  <ScaleCrop>false</ScaleCrop>
  <LinksUpToDate>false</LinksUpToDate>
  <CharactersWithSpaces>276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2022-11-23T09:11:44Z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CED9CBC606E6448B886630F39FFC4286</vt:lpwstr>
  </property>
</Properties>
</file>