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Zetarix — Concept Video Script</w:t>
      </w:r>
    </w:p>
    <w:p>
      <w:pPr>
        <w:jc w:val="center"/>
      </w:pPr>
      <w:r>
        <w:rPr>
          <w:i/>
          <w:sz w:val="22"/>
        </w:rPr>
        <w:t>Team Arkova   ·   ~4 minutes   ·   ~556 spoken words at 140 wpm</w:t>
      </w:r>
    </w:p>
    <w:p>
      <w:r>
        <w:rPr>
          <w:i/>
          <w:color w:val="5F6368"/>
          <w:sz w:val="20"/>
        </w:rPr>
        <w:t>Per hackathon guidelines, the video covers our strategy for automated discovery of legal documents and for mapping and verification of regulatory evidence.</w:t>
      </w:r>
    </w:p>
    <w:p/>
    <w:p>
      <w:pPr>
        <w:spacing w:before="160" w:after="40"/>
      </w:pPr>
      <w:r>
        <w:rPr>
          <w:b/>
          <w:color w:val="0B3D91"/>
          <w:sz w:val="24"/>
        </w:rPr>
        <w:t>0:00 – 0:15   ·   Slide 1</w:t>
      </w:r>
    </w:p>
    <w:p>
      <w:pPr>
        <w:jc w:val="both"/>
      </w:pPr>
      <w:r>
        <w:rPr>
          <w:sz w:val="24"/>
        </w:rPr>
        <w:t>We are Team Arkova. We built Zetarix — an open-source, model-agnostic pipeline that automates roughly eighty percent of the RDTII workflow for Pillars 6 and 7 across Asia-Pacific jurisdictions.</w:t>
      </w:r>
    </w:p>
    <w:p>
      <w:pPr>
        <w:spacing w:before="160" w:after="40"/>
      </w:pPr>
      <w:r>
        <w:rPr>
          <w:b/>
          <w:color w:val="0B3D91"/>
          <w:sz w:val="24"/>
        </w:rPr>
        <w:t>0:15 – 0:40   ·   Slide 2</w:t>
      </w:r>
    </w:p>
    <w:p>
      <w:pPr>
        <w:jc w:val="both"/>
      </w:pPr>
      <w:r>
        <w:rPr>
          <w:sz w:val="24"/>
        </w:rPr>
        <w:t>The problem we tackle is simple: today the RDTII workflow is almost entirely manual. ESCAP researchers search government portals, retrieve PDFs, read dense legal text, and extract structured fields — article by article, across many jurisdictions and languages. It does not scale, and existing literature targets the EU AI Act and GDPR, not RDTII.</w:t>
      </w:r>
    </w:p>
    <w:p>
      <w:pPr>
        <w:spacing w:before="160" w:after="40"/>
      </w:pPr>
      <w:r>
        <w:rPr>
          <w:b/>
          <w:color w:val="0B3D91"/>
          <w:sz w:val="24"/>
        </w:rPr>
        <w:t>0:40 – 1:00   ·   Slide 3</w:t>
      </w:r>
    </w:p>
    <w:p>
      <w:pPr>
        <w:jc w:val="both"/>
      </w:pPr>
      <w:r>
        <w:rPr>
          <w:sz w:val="24"/>
        </w:rPr>
        <w:t>Our six objectives follow directly. Automate discovery beyond the ESCAP database. Extract all six mandatory fields at article-level. Map every provision to Pillar 6 or 7 sub-indicators with verifiable citations. Ship a self-hostable open tool. Keep every AI component swappable. And provide a human-first review surface.</w:t>
      </w:r>
    </w:p>
    <w:p>
      <w:pPr>
        <w:spacing w:before="160" w:after="40"/>
      </w:pPr>
      <w:r>
        <w:rPr>
          <w:b/>
          <w:color w:val="0B3D91"/>
          <w:sz w:val="24"/>
        </w:rPr>
        <w:t>1:00 – 1:25   ·   Slide 4</w:t>
      </w:r>
    </w:p>
    <w:p>
      <w:pPr>
        <w:jc w:val="both"/>
      </w:pPr>
      <w:r>
        <w:rPr>
          <w:sz w:val="24"/>
        </w:rPr>
        <w:t>To make swappability real, we build on ports and adapters. The core domain depends only on interfaces — never on a concrete model. Every AI component — LLM, OCR, captioner, embeddings, vector store, graph library — is an adapter behind a port, changed via configuration. No vendor lock-in, no production proprietary dependency.</w:t>
      </w:r>
    </w:p>
    <w:p>
      <w:pPr>
        <w:spacing w:before="160" w:after="40"/>
      </w:pPr>
      <w:r>
        <w:rPr>
          <w:b/>
          <w:color w:val="0B3D91"/>
          <w:sz w:val="24"/>
        </w:rPr>
        <w:t>1:25 – 2:35   ·   Slide 5</w:t>
      </w:r>
    </w:p>
    <w:p>
      <w:pPr>
        <w:jc w:val="both"/>
      </w:pPr>
      <w:r>
        <w:rPr>
          <w:sz w:val="24"/>
        </w:rPr>
        <w:t>The pipeline runs in five stages. Stages one and two handle automated discovery of legal documents. A crawler — Playwright with anti-bot handling and archive fallback — locates regulations on national portals, gazettes, and ministry sites, recording full provenance per document. Then OCR converts every format to clean text at under five percent character error rate, and a vision-language captioner produces a short descriptor of each section. That caption becomes the basis for every downstream tag, so we are not hostage to OCR noise on scanned or non-English documents. Stage three handles mapping. We tag each section multi-label against indicator labels, then a RAG-based LLM call extracts the six mandatory fields with strict JSON schema and a source citation. Stage four is human verification — a non-technical reviewer console where any mapping is accepted, rejected, or edited in seconds, with a direct link back to the source span.</w:t>
      </w:r>
    </w:p>
    <w:p>
      <w:pPr>
        <w:spacing w:before="160" w:after="40"/>
      </w:pPr>
      <w:r>
        <w:rPr>
          <w:b/>
          <w:color w:val="0B3D91"/>
          <w:sz w:val="24"/>
        </w:rPr>
        <w:t>2:35 – 3:15   ·   Slide 6</w:t>
      </w:r>
    </w:p>
    <w:p>
      <w:pPr>
        <w:jc w:val="both"/>
      </w:pPr>
      <w:r>
        <w:rPr>
          <w:sz w:val="24"/>
        </w:rPr>
        <w:t>Stage five is our core contribution. From the tagged nodes, we derive two artifacts in parallel. The concept graph is subtractive — we start from the complete pairwise graph and drop edges below a calibrated threshold, leaving only topical borders. Then Louvain communities and weighted PageRank score importance within the surviving web. Independently, Formal Concept Analysis on the node-by-tag matrix produces a generality tree: more tags imply fewer matching sections, so depth equals specificity. Together they give us entry-point categories opening into ranked subcategories — navigable cross-jurisdiction evidence.</w:t>
      </w:r>
    </w:p>
    <w:p>
      <w:pPr>
        <w:spacing w:before="160" w:after="40"/>
      </w:pPr>
      <w:r>
        <w:rPr>
          <w:b/>
          <w:color w:val="0B3D91"/>
          <w:sz w:val="24"/>
        </w:rPr>
        <w:t>3:15 – 3:35   ·   Slide 7</w:t>
      </w:r>
    </w:p>
    <w:p>
      <w:pPr>
        <w:jc w:val="both"/>
      </w:pPr>
      <w:r>
        <w:rPr>
          <w:sz w:val="24"/>
        </w:rPr>
        <w:t>Every model named here is a starting suggestion, not a commitment. Development uses Claude or GPT; production resolves to open-weight Llama 3.1 via Ollama with a single config change. All reused components are Apache-2.0 compatible, audited for license discipline.</w:t>
      </w:r>
    </w:p>
    <w:p>
      <w:pPr>
        <w:spacing w:before="160" w:after="40"/>
      </w:pPr>
      <w:r>
        <w:rPr>
          <w:b/>
          <w:color w:val="0B3D91"/>
          <w:sz w:val="24"/>
        </w:rPr>
        <w:t>3:35 – 3:50   ·   Slide 8</w:t>
      </w:r>
    </w:p>
    <w:p>
      <w:pPr>
        <w:jc w:val="both"/>
      </w:pPr>
      <w:r>
        <w:rPr>
          <w:sz w:val="24"/>
        </w:rPr>
        <w:t>On viability — open-weight self-hosted cost is roughly five to ten cents per fifty-page document, API at ten to twenty-five cents. We are finale-ready for ten countries with no retraining. Everything ships via docker-compose on commodity hardware.</w:t>
      </w:r>
    </w:p>
    <w:p>
      <w:pPr>
        <w:spacing w:before="160" w:after="40"/>
      </w:pPr>
      <w:r>
        <w:rPr>
          <w:b/>
          <w:color w:val="0B3D91"/>
          <w:sz w:val="24"/>
        </w:rPr>
        <w:t>3:50 – 3:55   ·   Slide 9</w:t>
      </w:r>
    </w:p>
    <w:p>
      <w:pPr>
        <w:jc w:val="both"/>
      </w:pPr>
      <w:r>
        <w:rPr>
          <w:sz w:val="24"/>
        </w:rPr>
        <w:t>The path to October runs from the May application through training workshops, Round 1, the hybrid pitch, and the Bangkok finale.</w:t>
      </w:r>
    </w:p>
    <w:p>
      <w:pPr>
        <w:spacing w:before="160" w:after="40"/>
      </w:pPr>
      <w:r>
        <w:rPr>
          <w:b/>
          <w:color w:val="0B3D91"/>
          <w:sz w:val="24"/>
        </w:rPr>
        <w:t>3:55 – 4:00   ·   Slide 10</w:t>
      </w:r>
    </w:p>
    <w:p>
      <w:pPr>
        <w:jc w:val="both"/>
      </w:pPr>
      <w:r>
        <w:rPr>
          <w:sz w:val="24"/>
        </w:rPr>
        <w:t>To close: not a new model — a complete, deployable, open-source RDTII pipeline that does not yet exist. Auditable, multilingual, and built for the people who do the work. Thank you.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