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Technical Memo — RDTII AutoExtract</w:t>
      </w:r>
    </w:p>
    <w:p>
      <w:r>
        <w:rPr>
          <w:i/>
          <w:sz w:val="18"/>
        </w:rPr>
        <w:t>Team Arkova · Global Hackathon on AI for Digital Trade Regulatory Analysis (UN ESCAP &amp; KMITL, 2026). Apache 2.0.</w:t>
      </w:r>
    </w:p>
    <w:p>
      <w:r>
        <w:rPr>
          <w:i/>
          <w:sz w:val="18"/>
        </w:rPr>
        <w:t>Companion deck covers walkthrough; this memo = 2-page technical summary.</w:t>
      </w:r>
    </w:p>
    <w:p>
      <w:r>
        <w:rPr>
          <w:b/>
          <w:i w:val="0"/>
          <w:sz w:val="20"/>
        </w:rPr>
        <w:t xml:space="preserve">Problem. </w:t>
      </w:r>
      <w:r>
        <w:rPr>
          <w:b w:val="0"/>
          <w:i w:val="0"/>
          <w:sz w:val="20"/>
        </w:rPr>
        <w:t xml:space="preserve">Automate ~80% of the RDTII workflow (discover → describe) for </w:t>
      </w:r>
      <w:r>
        <w:rPr>
          <w:b/>
          <w:i w:val="0"/>
          <w:sz w:val="20"/>
        </w:rPr>
        <w:t xml:space="preserve">Pillar 6 (Cross-border Data Flows) </w:t>
      </w:r>
      <w:r>
        <w:rPr>
          <w:b w:val="0"/>
          <w:i w:val="0"/>
          <w:sz w:val="20"/>
        </w:rPr>
        <w:t xml:space="preserve">and </w:t>
      </w:r>
      <w:r>
        <w:rPr>
          <w:b/>
          <w:i w:val="0"/>
          <w:sz w:val="20"/>
        </w:rPr>
        <w:t xml:space="preserve">Pillar 7 (Domestic Data Protection) </w:t>
      </w:r>
      <w:r>
        <w:rPr>
          <w:b w:val="0"/>
          <w:i w:val="0"/>
          <w:sz w:val="20"/>
        </w:rPr>
        <w:t xml:space="preserve">at article-level granularity, with a transparent 20% human-review step. </w:t>
      </w:r>
      <w:r>
        <w:rPr>
          <w:b/>
          <w:i w:val="0"/>
          <w:sz w:val="20"/>
        </w:rPr>
        <w:t>Model-agnostic by design</w:t>
      </w:r>
      <w:r>
        <w:rPr>
          <w:b w:val="0"/>
          <w:i w:val="0"/>
          <w:sz w:val="20"/>
        </w:rPr>
        <w:t xml:space="preserve"> — every model is a swappable adapter.</w:t>
      </w:r>
    </w:p>
    <w:p>
      <w:pPr>
        <w:spacing w:before="120" w:after="40"/>
      </w:pPr>
      <w:r>
        <w:rPr>
          <w:b/>
          <w:sz w:val="24"/>
        </w:rPr>
        <w:t>Pipeline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77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Stages 1–5 with the ports they bind to (dashed). Adapters are config-selected; the core domain depends on the ports only.</w:t>
      </w:r>
    </w:p>
    <w:p>
      <w:r>
        <w:rPr>
          <w:b/>
          <w:i w:val="0"/>
          <w:sz w:val="20"/>
        </w:rPr>
        <w:t xml:space="preserve">6 mandatory fields / article: </w:t>
      </w:r>
      <w:r>
        <w:rPr>
          <w:b w:val="0"/>
          <w:i w:val="0"/>
          <w:sz w:val="20"/>
        </w:rPr>
        <w:t xml:space="preserve">title · last_update · url · scope · provisions · impact </w:t>
      </w:r>
      <w:r>
        <w:rPr>
          <w:b w:val="0"/>
          <w:i w:val="0"/>
          <w:sz w:val="20"/>
        </w:rPr>
        <w:t>(+ pillar, indicator, confidence, review_status). Document-level summaries rejected.</w:t>
      </w:r>
    </w:p>
    <w:p>
      <w:r>
        <w:rPr>
          <w:b/>
          <w:i w:val="0"/>
          <w:sz w:val="20"/>
        </w:rPr>
        <w:t xml:space="preserve">Stage 5 (core contribution): </w:t>
      </w:r>
      <w:r>
        <w:rPr>
          <w:b w:val="0"/>
          <w:i w:val="0"/>
          <w:sz w:val="20"/>
        </w:rPr>
        <w:t xml:space="preserve">tagged sections = nodes; edges = IDF-weighted tag overlap + embedding cosine; pruned at calibrated </w:t>
      </w:r>
      <w:r>
        <w:rPr>
          <w:b/>
          <w:i w:val="0"/>
          <w:sz w:val="20"/>
        </w:rPr>
        <w:t xml:space="preserve">θ </w:t>
      </w:r>
      <w:r>
        <w:rPr>
          <w:b w:val="0"/>
          <w:i w:val="0"/>
          <w:sz w:val="20"/>
        </w:rPr>
        <w:t xml:space="preserve">(fixed seeds + θ ⇒ reproducible). Community detection + </w:t>
      </w:r>
      <w:r>
        <w:rPr>
          <w:b/>
          <w:i w:val="0"/>
          <w:sz w:val="20"/>
        </w:rPr>
        <w:t xml:space="preserve">Formal Concept Analysis </w:t>
      </w:r>
      <w:r>
        <w:rPr>
          <w:b w:val="0"/>
          <w:i w:val="0"/>
          <w:sz w:val="20"/>
        </w:rPr>
        <w:t xml:space="preserve">lattice + weighted </w:t>
      </w:r>
      <w:r>
        <w:rPr>
          <w:b/>
          <w:i w:val="0"/>
          <w:sz w:val="20"/>
        </w:rPr>
        <w:t xml:space="preserve">PageRank </w:t>
      </w:r>
      <w:r>
        <w:rPr>
          <w:b w:val="0"/>
          <w:i w:val="0"/>
          <w:sz w:val="20"/>
        </w:rPr>
        <w:t>→ navigable entry-point → sub-topic hierarchy for cross-jurisdiction evidence discovery.</w:t>
      </w:r>
    </w:p>
    <w:p>
      <w:pPr>
        <w:spacing w:before="120" w:after="40"/>
      </w:pPr>
      <w:r>
        <w:rPr>
          <w:b/>
          <w:sz w:val="24"/>
        </w:rPr>
        <w:t>Architecture — ports &amp; adapters</w:t>
      </w:r>
    </w:p>
    <w:p>
      <w:r>
        <w:rPr>
          <w:b w:val="0"/>
          <w:i w:val="0"/>
          <w:sz w:val="20"/>
        </w:rPr>
        <w:t>Core domain imports no framework/model SDK; concrete tools are config-selected adapters.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7"/>
              </w:rPr>
              <w:t>Port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7"/>
              </w:rPr>
              <w:t>Suggested adapter (dev)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7"/>
              </w:rPr>
              <w:t>Open-weight target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DocumentSource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Playwright + BeautifulSoup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BSD/MIT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OCREngine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Tesseract 5 + OpenCV / PaddleOCR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Captioner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Qwen2-VL / ColQwen2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Tagger (embeddings)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BGE-M3 + reranker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MIT/Apache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VectorStore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pgvector / Chroma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PostgreSQL/Apache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LLMProvider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Claude / GPT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Llama 3.1 8B/70B via Ollama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Apache-compat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GraphBuilder/Ranker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NetworkX + FCA `concepts`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BSD/MIT</w:t>
            </w:r>
          </w:p>
        </w:tc>
      </w:tr>
    </w:tbl>
    <w:p>
      <w:pPr>
        <w:spacing w:before="80"/>
      </w:pPr>
      <w:r>
        <w:rPr>
          <w:i/>
          <w:sz w:val="18"/>
        </w:rPr>
        <w:t>⚠ License discipline: ColQwen2 over PaliGemma/ColPali (Gemma); NetworkX/Louvain over GPL leidenalg/igraph; no CC-BY-NC models. All components Apache-2.0-compatible.</w:t>
      </w:r>
    </w:p>
    <w:p>
      <w:pPr>
        <w:spacing w:before="120" w:after="40"/>
      </w:pPr>
      <w:r>
        <w:rPr>
          <w:b/>
          <w:sz w:val="24"/>
        </w:rPr>
        <w:t>Cost per 50-page document (preliminary)</w:t>
      </w:r>
    </w:p>
    <w:p>
      <w:r>
        <w:rPr>
          <w:b w:val="0"/>
          <w:i w:val="0"/>
          <w:sz w:val="20"/>
        </w:rPr>
        <w:t>~200 article-level chunks / 50-pp doc.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18"/>
              </w:rPr>
              <w:t>Total / 50 pp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Open-weight (Llama 3.1 8B, self-host GPU)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~USD 0.05–0.10 (API: $0.00)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API (Claude/GPT)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~USD 0.10–0.25</w:t>
            </w:r>
          </w:p>
        </w:tc>
      </w:tr>
    </w:tbl>
    <w:p>
      <w:r>
        <w:rPr>
          <w:b w:val="0"/>
          <w:i w:val="0"/>
          <w:sz w:val="18"/>
        </w:rPr>
        <w:t>Open-weight basis: A10G-class GPU at batch rates. Final CER / latency / cost reported post-test.</w:t>
      </w:r>
    </w:p>
    <w:p>
      <w:pPr>
        <w:spacing w:before="120" w:after="40"/>
      </w:pPr>
      <w:r>
        <w:rPr>
          <w:b/>
          <w:sz w:val="24"/>
        </w:rPr>
        <w:t>Generalisation, fine-tuning, originality</w:t>
      </w:r>
    </w:p>
    <w:p>
      <w:pPr>
        <w:pStyle w:val="ListBullet"/>
        <w:spacing w:after="40"/>
      </w:pPr>
      <w:r>
        <w:rPr>
          <w:b/>
          <w:sz w:val="20"/>
        </w:rPr>
        <w:t xml:space="preserve">Generalisation: </w:t>
      </w:r>
      <w:r>
        <w:rPr>
          <w:b w:val="0"/>
          <w:sz w:val="20"/>
        </w:rPr>
        <w:t>no per-country retraining; non-English via captioning + translation; scanned PDFs via OCR (&lt;5% CER); anti-bot portals via headless browser + archive fallback. Target ≥3 of 10 assigned countries at finale.</w:t>
      </w:r>
    </w:p>
    <w:p>
      <w:pPr>
        <w:pStyle w:val="ListBullet"/>
        <w:spacing w:after="40"/>
      </w:pPr>
      <w:r>
        <w:rPr>
          <w:b/>
          <w:sz w:val="20"/>
        </w:rPr>
        <w:t xml:space="preserve">Fine-tuning (planned): </w:t>
      </w:r>
      <w:r>
        <w:rPr>
          <w:b w:val="0"/>
          <w:sz w:val="20"/>
        </w:rPr>
        <w:t>few-shot tune small encoder/classifier for Pillar 6/7 sub-indicators using RDTII taxonomy; θ calibrated F1-optimal on RDTII labelled data. Weights published in repo.</w:t>
      </w:r>
    </w:p>
    <w:p>
      <w:pPr>
        <w:pStyle w:val="ListBullet"/>
        <w:spacing w:after="40"/>
      </w:pPr>
      <w:r>
        <w:rPr>
          <w:b/>
          <w:sz w:val="20"/>
        </w:rPr>
        <w:t xml:space="preserve">Originality: </w:t>
      </w:r>
      <w:r>
        <w:rPr>
          <w:b w:val="0"/>
          <w:sz w:val="20"/>
        </w:rPr>
        <w:t>not a new model — a complete, deployable, open-source RDTII pipeline that does not yet exist, with a concept-graph layer for cross-jurisdiction evidence discovery.</w:t>
      </w:r>
    </w:p>
    <w:p>
      <w:r>
        <w:rPr>
          <w:b/>
          <w:i w:val="0"/>
          <w:sz w:val="20"/>
        </w:rPr>
        <w:t xml:space="preserve">Deploy: </w:t>
      </w:r>
      <w:r>
        <w:rPr>
          <w:b w:val="0"/>
          <w:i w:val="0"/>
          <w:sz w:val="20"/>
        </w:rPr>
        <w:t>docker-compose up → api + web + Postgres/pgvector. No proprietary production dependency. Full design: docs/ARCHITECTURE.md, docs/GRAPH_PIPELINE.md.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