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RDTII AutoExtract</w:t>
      </w:r>
    </w:p>
    <w:p>
      <w:pPr>
        <w:jc w:val="center"/>
      </w:pPr>
      <w:r>
        <w:rPr>
          <w:i/>
          <w:sz w:val="24"/>
        </w:rPr>
        <w:t>An Open-Source AI Pipeline for Automated Digital Trade Regulatory Analysis Across Asia-Pacific Jurisdictions</w:t>
      </w:r>
    </w:p>
    <w:p>
      <w:pPr>
        <w:jc w:val="center"/>
      </w:pPr>
      <w:r>
        <w:rPr>
          <w:i/>
          <w:sz w:val="20"/>
        </w:rPr>
        <w:t>Team Arkova · Global Hackathon on AI for Digital Trade Regulatory Analysis (UN ESCAP &amp; KMITL, 2026) · Apache 2.0</w:t>
      </w:r>
    </w:p>
    <w:p>
      <w:pPr>
        <w:spacing w:before="200" w:after="80"/>
      </w:pPr>
      <w:r>
        <w:rPr>
          <w:b/>
          <w:sz w:val="26"/>
        </w:rPr>
        <w:t>Proposal Summary</w:t>
      </w:r>
    </w:p>
    <w:p>
      <w:pPr>
        <w:jc w:val="both"/>
      </w:pPr>
      <w:r>
        <w:rPr>
          <w:sz w:val="22"/>
        </w:rPr>
        <w:t>RDTII AutoExtract is an open-source, model-agnostic AI pipeline that automates roughly 80% of the UN ESCAP Regional Digital Trade Integration Index workflow — discovery through description — for Pillar 6 (Cross-Border Data Flows) and Pillar 7 (Domestic Data Protection) across Asia-Pacific jurisdictions. The system runs five composable stages: crawler-based document discovery with anti-bot handling and provenance tracking; OCR with vision-language captioning for scanned, non-English, and visually laid-out texts, targeting under five percent character error rate; LLM-driven multi-label tagging and article-level extraction of the six mandatory RDTII fields with verifiable source citations; a non-technical human-review console where any mapping can be verified, rejected, or edited in seconds; and a concept-graph layer that links related provisions across jurisdictions via threshold-pruned weighted edges, Louvain community detection, Formal Concept Analysis lattices, and weighted PageRank for navigable cross-jurisdiction evidence discovery. Built on a ports-and-adapters architecture, every model — LLM, OCR engine, captioner, embedder, vector store, and graph library — is a swappable adapter changed via configuration without touching the domain. The reference stack uses Apache-2.0-compatible components only; production targets open-weight Llama 3.1 via Ollama at an estimated cost of USD 0.05 to 0.10 per fifty-page document. The full system is self-hostable through docker-compose with no proprietary production dependency.</w:t>
      </w:r>
    </w:p>
    <w:p>
      <w:pPr>
        <w:spacing w:before="200" w:after="80"/>
      </w:pPr>
      <w:r>
        <w:rPr>
          <w:b/>
          <w:sz w:val="26"/>
        </w:rPr>
        <w:t>Problem Understanding and Objectives</w:t>
      </w:r>
    </w:p>
    <w:p>
      <w:pPr>
        <w:jc w:val="both"/>
      </w:pPr>
      <w:r>
        <w:rPr>
          <w:sz w:val="22"/>
        </w:rPr>
        <w:t>The current RDTII workflow requires ESCAP researchers to manually search government portals, retrieve regulatory documents, read dense legal text, and extract structured data at article-level granularity across multiple Asia-Pacific jurisdictions. The process is time-intensive, difficult to scale, and bottlenecked by researcher availability, anti-bot portals, and language coverage spanning English, Vietnamese, Thai, Bahasa Malaysia, and others. Existing automated approaches in the literature concentrate almost entirely on EU instruments such as GDPR and the AI Act; no open-source pipeline today targets the RDTII indicators end-to-end or handles Asia-Pacific languages, scanned PDFs, and document conventions in one deployable system. Our objectives are: automate discovery, retrieval, OCR, captioning, tagging, and extraction so researchers receive review-ready findings rather than raw documents; deliver article-level outputs containing the six mandatory fields — title, last update, URL, scope, provisions, impact — with verifiable mapping to Pillar 6 and 7 sub-indicators and per-record confidence scores; preserve a transparent human-review surface where any mapping is verified, rejected, or edited in seconds by non-technical users; maintain strict model-agnosticism through ports and adapters so open-weight upgrades require only configuration changes; demonstrate generalisation across at least three of ten assigned countries under live conditions; and ship a self-hostable Apache-2.0 reference implementation that any policy team can adopt, audit, and extend without proprietary infrastructure.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