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76C55" w14:textId="69DB37E1" w:rsidR="00B509CC" w:rsidRDefault="009B36E1" w:rsidP="009B36E1">
      <w:pPr>
        <w:ind w:hanging="1170"/>
      </w:pPr>
      <w:r w:rsidRPr="009B36E1">
        <w:drawing>
          <wp:inline distT="0" distB="0" distL="0" distR="0" wp14:anchorId="09AEA93E" wp14:editId="5AFE53A1">
            <wp:extent cx="7404100" cy="727199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06968" cy="7274814"/>
                    </a:xfrm>
                    <a:prstGeom prst="rect">
                      <a:avLst/>
                    </a:prstGeom>
                    <a:noFill/>
                    <a:ln>
                      <a:noFill/>
                    </a:ln>
                  </pic:spPr>
                </pic:pic>
              </a:graphicData>
            </a:graphic>
          </wp:inline>
        </w:drawing>
      </w:r>
    </w:p>
    <w:p w14:paraId="19FBB544" w14:textId="2AC4B898" w:rsidR="009B36E1" w:rsidRDefault="009B36E1" w:rsidP="009B36E1">
      <w:pPr>
        <w:ind w:hanging="1170"/>
      </w:pPr>
    </w:p>
    <w:p w14:paraId="57EA70E4" w14:textId="57F9B437" w:rsidR="009B36E1" w:rsidRDefault="009B36E1" w:rsidP="009B36E1">
      <w:pPr>
        <w:ind w:hanging="1170"/>
      </w:pPr>
    </w:p>
    <w:p w14:paraId="350A39F3" w14:textId="645DFBE3" w:rsidR="009B36E1" w:rsidRDefault="009B36E1" w:rsidP="009B36E1">
      <w:pPr>
        <w:ind w:hanging="1170"/>
      </w:pPr>
    </w:p>
    <w:p w14:paraId="049520CA" w14:textId="645E484C" w:rsidR="009B36E1" w:rsidRDefault="009B36E1" w:rsidP="009B36E1">
      <w:pPr>
        <w:ind w:hanging="1170"/>
      </w:pPr>
      <w:r w:rsidRPr="009B36E1">
        <w:lastRenderedPageBreak/>
        <w:drawing>
          <wp:inline distT="0" distB="0" distL="0" distR="0" wp14:anchorId="2515BBC4" wp14:editId="2C4A22E7">
            <wp:extent cx="5060950" cy="7366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50" cy="7366000"/>
                    </a:xfrm>
                    <a:prstGeom prst="rect">
                      <a:avLst/>
                    </a:prstGeom>
                    <a:noFill/>
                    <a:ln>
                      <a:noFill/>
                    </a:ln>
                  </pic:spPr>
                </pic:pic>
              </a:graphicData>
            </a:graphic>
          </wp:inline>
        </w:drawing>
      </w:r>
    </w:p>
    <w:p w14:paraId="10086DC5" w14:textId="279DC88B" w:rsidR="009B36E1" w:rsidRDefault="009B36E1" w:rsidP="009B36E1">
      <w:pPr>
        <w:ind w:hanging="1170"/>
      </w:pPr>
    </w:p>
    <w:p w14:paraId="6B235715" w14:textId="45D0B19F" w:rsidR="009B36E1" w:rsidRDefault="009B36E1" w:rsidP="009B36E1">
      <w:pPr>
        <w:ind w:hanging="1170"/>
      </w:pPr>
    </w:p>
    <w:p w14:paraId="723AF74D" w14:textId="5B2E3D4E" w:rsidR="009B36E1" w:rsidRDefault="009B36E1" w:rsidP="009B36E1">
      <w:pPr>
        <w:ind w:hanging="1170"/>
      </w:pPr>
    </w:p>
    <w:p w14:paraId="6E8CB6A9" w14:textId="57B11BF3" w:rsidR="009B36E1" w:rsidRDefault="009B36E1" w:rsidP="009B36E1">
      <w:pPr>
        <w:spacing w:after="0" w:line="240" w:lineRule="auto"/>
        <w:rPr>
          <w:rFonts w:ascii="Calibri" w:eastAsia="Times New Roman" w:hAnsi="Calibri" w:cs="Calibri"/>
          <w:color w:val="000000"/>
          <w:sz w:val="24"/>
          <w:szCs w:val="24"/>
        </w:rPr>
      </w:pPr>
      <w:r w:rsidRPr="009B36E1">
        <w:rPr>
          <w:rFonts w:ascii="Calibri" w:eastAsia="Times New Roman" w:hAnsi="Calibri" w:cs="Calibri"/>
          <w:b/>
          <w:bCs/>
          <w:i/>
          <w:iCs/>
          <w:color w:val="000000"/>
          <w:sz w:val="24"/>
          <w:szCs w:val="24"/>
        </w:rPr>
        <w:lastRenderedPageBreak/>
        <w:t>Staph. aureus:</w:t>
      </w:r>
      <w:r w:rsidRPr="009B36E1">
        <w:rPr>
          <w:rFonts w:ascii="Calibri" w:eastAsia="Times New Roman" w:hAnsi="Calibri" w:cs="Calibri"/>
          <w:b/>
          <w:bCs/>
          <w:color w:val="000000"/>
          <w:sz w:val="24"/>
          <w:szCs w:val="24"/>
        </w:rPr>
        <w:t xml:space="preserve"> </w:t>
      </w:r>
      <w:r w:rsidRPr="009B36E1">
        <w:rPr>
          <w:rFonts w:ascii="Calibri" w:eastAsia="Times New Roman" w:hAnsi="Calibri" w:cs="Calibri"/>
          <w:i/>
          <w:iCs/>
          <w:color w:val="000000"/>
          <w:sz w:val="24"/>
          <w:szCs w:val="24"/>
        </w:rPr>
        <w:t xml:space="preserve">Staph. aureus </w:t>
      </w:r>
      <w:r w:rsidRPr="009B36E1">
        <w:rPr>
          <w:rFonts w:ascii="Calibri" w:eastAsia="Times New Roman" w:hAnsi="Calibri" w:cs="Calibri"/>
          <w:color w:val="000000"/>
          <w:sz w:val="24"/>
          <w:szCs w:val="24"/>
        </w:rPr>
        <w:t xml:space="preserve">is most commonly associated with cases of subclinical mastitis. This organism is able to live in the udder without showing any physical (clinical) signs of mastitis. Cows with chronic </w:t>
      </w:r>
      <w:r w:rsidRPr="009B36E1">
        <w:rPr>
          <w:rFonts w:ascii="Calibri" w:eastAsia="Times New Roman" w:hAnsi="Calibri" w:cs="Calibri"/>
          <w:i/>
          <w:iCs/>
          <w:color w:val="000000"/>
          <w:sz w:val="24"/>
          <w:szCs w:val="24"/>
        </w:rPr>
        <w:t>Staph aureus</w:t>
      </w:r>
      <w:r w:rsidRPr="009B36E1">
        <w:rPr>
          <w:rFonts w:ascii="Calibri" w:eastAsia="Times New Roman" w:hAnsi="Calibri" w:cs="Calibri"/>
          <w:color w:val="000000"/>
          <w:sz w:val="24"/>
          <w:szCs w:val="24"/>
        </w:rPr>
        <w:t xml:space="preserve"> infections may show occasional clinical flare-ups of mastitis (abnormal milk).  </w:t>
      </w:r>
      <w:r w:rsidRPr="009B36E1">
        <w:rPr>
          <w:rFonts w:ascii="Calibri" w:eastAsia="Times New Roman" w:hAnsi="Calibri" w:cs="Calibri"/>
          <w:i/>
          <w:iCs/>
          <w:color w:val="000000"/>
          <w:sz w:val="24"/>
          <w:szCs w:val="24"/>
        </w:rPr>
        <w:t xml:space="preserve">Staph. aureus </w:t>
      </w:r>
      <w:r w:rsidRPr="009B36E1">
        <w:rPr>
          <w:rFonts w:ascii="Calibri" w:eastAsia="Times New Roman" w:hAnsi="Calibri" w:cs="Calibri"/>
          <w:color w:val="000000"/>
          <w:sz w:val="24"/>
          <w:szCs w:val="24"/>
        </w:rPr>
        <w:t xml:space="preserve">is contagious (can spread from cow to cow, frequently on milking units or by </w:t>
      </w:r>
      <w:proofErr w:type="spellStart"/>
      <w:r w:rsidRPr="009B36E1">
        <w:rPr>
          <w:rFonts w:ascii="Calibri" w:eastAsia="Times New Roman" w:hAnsi="Calibri" w:cs="Calibri"/>
          <w:color w:val="000000"/>
          <w:sz w:val="24"/>
          <w:szCs w:val="24"/>
        </w:rPr>
        <w:t>milkers’</w:t>
      </w:r>
      <w:proofErr w:type="spellEnd"/>
      <w:r w:rsidRPr="009B36E1">
        <w:rPr>
          <w:rFonts w:ascii="Calibri" w:eastAsia="Times New Roman" w:hAnsi="Calibri" w:cs="Calibri"/>
          <w:color w:val="000000"/>
          <w:sz w:val="24"/>
          <w:szCs w:val="24"/>
        </w:rPr>
        <w:t xml:space="preserve"> hands), so efforts should be made to limit contact between cows. Good milking hygiene including use of post-milking teat disinfection is effective at reducing spread of </w:t>
      </w:r>
      <w:r w:rsidRPr="009B36E1">
        <w:rPr>
          <w:rFonts w:ascii="Calibri" w:eastAsia="Times New Roman" w:hAnsi="Calibri" w:cs="Calibri"/>
          <w:i/>
          <w:iCs/>
          <w:color w:val="000000"/>
          <w:sz w:val="24"/>
          <w:szCs w:val="24"/>
        </w:rPr>
        <w:t>Staph aureus</w:t>
      </w:r>
      <w:r w:rsidRPr="009B36E1">
        <w:rPr>
          <w:rFonts w:ascii="Calibri" w:eastAsia="Times New Roman" w:hAnsi="Calibri" w:cs="Calibri"/>
          <w:color w:val="000000"/>
          <w:sz w:val="24"/>
          <w:szCs w:val="24"/>
        </w:rPr>
        <w:t xml:space="preserve">. Culture can be an important component of </w:t>
      </w:r>
      <w:r w:rsidRPr="009B36E1">
        <w:rPr>
          <w:rFonts w:ascii="Calibri" w:eastAsia="Times New Roman" w:hAnsi="Calibri" w:cs="Calibri"/>
          <w:i/>
          <w:iCs/>
          <w:color w:val="000000"/>
          <w:sz w:val="24"/>
          <w:szCs w:val="24"/>
        </w:rPr>
        <w:t>Staph aureus</w:t>
      </w:r>
      <w:r w:rsidRPr="009B36E1">
        <w:rPr>
          <w:rFonts w:ascii="Calibri" w:eastAsia="Times New Roman" w:hAnsi="Calibri" w:cs="Calibri"/>
          <w:color w:val="000000"/>
          <w:sz w:val="24"/>
          <w:szCs w:val="24"/>
        </w:rPr>
        <w:t xml:space="preserve"> mastitis control. For example, in tie-stall barns </w:t>
      </w:r>
      <w:r w:rsidRPr="009B36E1">
        <w:rPr>
          <w:rFonts w:ascii="Calibri" w:eastAsia="Times New Roman" w:hAnsi="Calibri" w:cs="Calibri"/>
          <w:i/>
          <w:iCs/>
          <w:color w:val="000000"/>
          <w:sz w:val="24"/>
          <w:szCs w:val="24"/>
        </w:rPr>
        <w:t>Staph aureus</w:t>
      </w:r>
      <w:r w:rsidRPr="009B36E1">
        <w:rPr>
          <w:rFonts w:ascii="Calibri" w:eastAsia="Times New Roman" w:hAnsi="Calibri" w:cs="Calibri"/>
          <w:color w:val="000000"/>
          <w:sz w:val="24"/>
          <w:szCs w:val="24"/>
        </w:rPr>
        <w:t xml:space="preserve"> cows can be milked last (i.e. ‘segregated’ from other cows during milking). </w:t>
      </w:r>
    </w:p>
    <w:p w14:paraId="408A1118" w14:textId="77777777" w:rsidR="009B36E1" w:rsidRPr="009B36E1" w:rsidRDefault="009B36E1" w:rsidP="009B36E1">
      <w:pPr>
        <w:spacing w:after="0" w:line="240" w:lineRule="auto"/>
        <w:rPr>
          <w:rFonts w:ascii="Calibri" w:eastAsia="Times New Roman" w:hAnsi="Calibri" w:cs="Calibri"/>
          <w:b/>
          <w:bCs/>
          <w:i/>
          <w:iCs/>
          <w:color w:val="000000"/>
          <w:sz w:val="24"/>
          <w:szCs w:val="24"/>
        </w:rPr>
      </w:pPr>
      <w:bookmarkStart w:id="0" w:name="_GoBack"/>
      <w:bookmarkEnd w:id="0"/>
    </w:p>
    <w:p w14:paraId="48509D58" w14:textId="77777777" w:rsidR="009B36E1" w:rsidRPr="009B36E1" w:rsidRDefault="009B36E1" w:rsidP="009B36E1">
      <w:pPr>
        <w:spacing w:after="0" w:line="240" w:lineRule="auto"/>
        <w:rPr>
          <w:rFonts w:ascii="Calibri" w:eastAsia="Times New Roman" w:hAnsi="Calibri" w:cs="Calibri"/>
          <w:color w:val="000000"/>
          <w:sz w:val="24"/>
          <w:szCs w:val="24"/>
        </w:rPr>
      </w:pPr>
      <w:r w:rsidRPr="009B36E1">
        <w:rPr>
          <w:rFonts w:ascii="Calibri" w:eastAsia="Times New Roman" w:hAnsi="Calibri" w:cs="Calibri"/>
          <w:b/>
          <w:bCs/>
          <w:i/>
          <w:iCs/>
          <w:color w:val="000000"/>
          <w:sz w:val="24"/>
          <w:szCs w:val="24"/>
        </w:rPr>
        <w:t xml:space="preserve">Corynebacterium </w:t>
      </w:r>
      <w:r w:rsidRPr="009B36E1">
        <w:rPr>
          <w:rFonts w:ascii="Calibri" w:eastAsia="Times New Roman" w:hAnsi="Calibri" w:cs="Calibri"/>
          <w:b/>
          <w:bCs/>
          <w:color w:val="000000"/>
          <w:sz w:val="24"/>
          <w:szCs w:val="24"/>
        </w:rPr>
        <w:t>species</w:t>
      </w:r>
      <w:r w:rsidRPr="009B36E1">
        <w:rPr>
          <w:rFonts w:ascii="Calibri" w:eastAsia="Times New Roman" w:hAnsi="Calibri" w:cs="Calibri"/>
          <w:b/>
          <w:bCs/>
          <w:i/>
          <w:iCs/>
          <w:color w:val="000000"/>
          <w:sz w:val="24"/>
          <w:szCs w:val="24"/>
        </w:rPr>
        <w:t xml:space="preserve">: </w:t>
      </w:r>
      <w:r w:rsidRPr="009B36E1">
        <w:rPr>
          <w:rFonts w:ascii="Calibri" w:eastAsia="Times New Roman" w:hAnsi="Calibri" w:cs="Calibri"/>
          <w:i/>
          <w:iCs/>
          <w:color w:val="000000"/>
          <w:sz w:val="24"/>
          <w:szCs w:val="24"/>
        </w:rPr>
        <w:t xml:space="preserve">Corynebacterium </w:t>
      </w:r>
      <w:r w:rsidRPr="009B36E1">
        <w:rPr>
          <w:rFonts w:ascii="Calibri" w:eastAsia="Times New Roman" w:hAnsi="Calibri" w:cs="Calibri"/>
          <w:color w:val="000000"/>
          <w:sz w:val="24"/>
          <w:szCs w:val="24"/>
        </w:rPr>
        <w:t xml:space="preserve">species (Most frequently </w:t>
      </w:r>
      <w:r w:rsidRPr="009B36E1">
        <w:rPr>
          <w:rFonts w:ascii="Calibri" w:eastAsia="Times New Roman" w:hAnsi="Calibri" w:cs="Calibri"/>
          <w:i/>
          <w:iCs/>
          <w:color w:val="000000"/>
          <w:sz w:val="24"/>
          <w:szCs w:val="24"/>
        </w:rPr>
        <w:t xml:space="preserve">C. </w:t>
      </w:r>
      <w:proofErr w:type="spellStart"/>
      <w:r w:rsidRPr="009B36E1">
        <w:rPr>
          <w:rFonts w:ascii="Calibri" w:eastAsia="Times New Roman" w:hAnsi="Calibri" w:cs="Calibri"/>
          <w:i/>
          <w:iCs/>
          <w:color w:val="000000"/>
          <w:sz w:val="24"/>
          <w:szCs w:val="24"/>
        </w:rPr>
        <w:t>bovis</w:t>
      </w:r>
      <w:proofErr w:type="spellEnd"/>
      <w:r w:rsidRPr="009B36E1">
        <w:rPr>
          <w:rFonts w:ascii="Calibri" w:eastAsia="Times New Roman" w:hAnsi="Calibri" w:cs="Calibri"/>
          <w:color w:val="000000"/>
          <w:sz w:val="24"/>
          <w:szCs w:val="24"/>
        </w:rPr>
        <w:t xml:space="preserve">) is a contagious, Gram-positive pathogen that occasionally causes intramammary infections. This organism is commonly found in the environment and soil. </w:t>
      </w:r>
      <w:r w:rsidRPr="009B36E1">
        <w:rPr>
          <w:rFonts w:ascii="Calibri" w:eastAsia="Times New Roman" w:hAnsi="Calibri" w:cs="Calibri"/>
          <w:i/>
          <w:iCs/>
          <w:color w:val="000000"/>
          <w:sz w:val="24"/>
          <w:szCs w:val="24"/>
        </w:rPr>
        <w:t xml:space="preserve">C. </w:t>
      </w:r>
      <w:proofErr w:type="spellStart"/>
      <w:r w:rsidRPr="009B36E1">
        <w:rPr>
          <w:rFonts w:ascii="Calibri" w:eastAsia="Times New Roman" w:hAnsi="Calibri" w:cs="Calibri"/>
          <w:i/>
          <w:iCs/>
          <w:color w:val="000000"/>
          <w:sz w:val="24"/>
          <w:szCs w:val="24"/>
        </w:rPr>
        <w:t>bovis</w:t>
      </w:r>
      <w:proofErr w:type="spellEnd"/>
      <w:r w:rsidRPr="009B36E1">
        <w:rPr>
          <w:rFonts w:ascii="Calibri" w:eastAsia="Times New Roman" w:hAnsi="Calibri" w:cs="Calibri"/>
          <w:color w:val="000000"/>
          <w:sz w:val="24"/>
          <w:szCs w:val="24"/>
        </w:rPr>
        <w:t xml:space="preserve"> will usually cause only a mild increase in somatic cell count and a slight reduction in milk production. </w:t>
      </w:r>
      <w:r w:rsidRPr="009B36E1">
        <w:rPr>
          <w:rFonts w:ascii="Calibri" w:eastAsia="Times New Roman" w:hAnsi="Calibri" w:cs="Calibri"/>
          <w:i/>
          <w:iCs/>
          <w:color w:val="000000"/>
          <w:sz w:val="24"/>
          <w:szCs w:val="24"/>
        </w:rPr>
        <w:t xml:space="preserve">C. </w:t>
      </w:r>
      <w:proofErr w:type="spellStart"/>
      <w:r w:rsidRPr="009B36E1">
        <w:rPr>
          <w:rFonts w:ascii="Calibri" w:eastAsia="Times New Roman" w:hAnsi="Calibri" w:cs="Calibri"/>
          <w:i/>
          <w:iCs/>
          <w:color w:val="000000"/>
          <w:sz w:val="24"/>
          <w:szCs w:val="24"/>
        </w:rPr>
        <w:t>bovis</w:t>
      </w:r>
      <w:proofErr w:type="spellEnd"/>
      <w:r w:rsidRPr="009B36E1">
        <w:rPr>
          <w:rFonts w:ascii="Calibri" w:eastAsia="Times New Roman" w:hAnsi="Calibri" w:cs="Calibri"/>
          <w:i/>
          <w:iCs/>
          <w:color w:val="000000"/>
          <w:sz w:val="24"/>
          <w:szCs w:val="24"/>
        </w:rPr>
        <w:t xml:space="preserve"> </w:t>
      </w:r>
      <w:r w:rsidRPr="009B36E1">
        <w:rPr>
          <w:rFonts w:ascii="Calibri" w:eastAsia="Times New Roman" w:hAnsi="Calibri" w:cs="Calibri"/>
          <w:color w:val="000000"/>
          <w:sz w:val="24"/>
          <w:szCs w:val="24"/>
        </w:rPr>
        <w:t xml:space="preserve">will colonize the teat canal, so the teat canal as well as infected udders can act as reservoirs for infection. This pathogen is contagious and will therefore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 </w:t>
      </w:r>
      <w:proofErr w:type="gramStart"/>
      <w:r w:rsidRPr="009B36E1">
        <w:rPr>
          <w:rFonts w:ascii="Calibri" w:eastAsia="Times New Roman" w:hAnsi="Calibri" w:cs="Calibri"/>
          <w:color w:val="000000"/>
          <w:sz w:val="24"/>
          <w:szCs w:val="24"/>
        </w:rPr>
        <w:t>are</w:t>
      </w:r>
      <w:proofErr w:type="gramEnd"/>
      <w:r w:rsidRPr="009B36E1">
        <w:rPr>
          <w:rFonts w:ascii="Calibri" w:eastAsia="Times New Roman" w:hAnsi="Calibri" w:cs="Calibri"/>
          <w:color w:val="000000"/>
          <w:sz w:val="24"/>
          <w:szCs w:val="24"/>
        </w:rPr>
        <w:t xml:space="preserve"> post-dips with the active ingredient linear dodecylbenzene sulfonic acid, which are not effective against </w:t>
      </w:r>
      <w:r w:rsidRPr="009B36E1">
        <w:rPr>
          <w:rFonts w:ascii="Calibri" w:eastAsia="Times New Roman" w:hAnsi="Calibri" w:cs="Calibri"/>
          <w:i/>
          <w:iCs/>
          <w:color w:val="000000"/>
          <w:sz w:val="24"/>
          <w:szCs w:val="24"/>
        </w:rPr>
        <w:t xml:space="preserve">C. </w:t>
      </w:r>
      <w:proofErr w:type="spellStart"/>
      <w:r w:rsidRPr="009B36E1">
        <w:rPr>
          <w:rFonts w:ascii="Calibri" w:eastAsia="Times New Roman" w:hAnsi="Calibri" w:cs="Calibri"/>
          <w:i/>
          <w:iCs/>
          <w:color w:val="000000"/>
          <w:sz w:val="24"/>
          <w:szCs w:val="24"/>
        </w:rPr>
        <w:t>bovis</w:t>
      </w:r>
      <w:proofErr w:type="spellEnd"/>
      <w:r w:rsidRPr="009B36E1">
        <w:rPr>
          <w:rFonts w:ascii="Calibri" w:eastAsia="Times New Roman" w:hAnsi="Calibri" w:cs="Calibri"/>
          <w:color w:val="000000"/>
          <w:sz w:val="24"/>
          <w:szCs w:val="24"/>
        </w:rPr>
        <w:t xml:space="preserve">. These infections often self-resolve during the dry period. New infections can occur at any time during lactation. </w:t>
      </w:r>
    </w:p>
    <w:p w14:paraId="17F2CEC0" w14:textId="77777777" w:rsidR="009B36E1" w:rsidRDefault="009B36E1" w:rsidP="009B36E1">
      <w:pPr>
        <w:ind w:hanging="1170"/>
      </w:pPr>
    </w:p>
    <w:sectPr w:rsidR="009B36E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C8E26" w14:textId="77777777" w:rsidR="009B36E1" w:rsidRDefault="009B36E1" w:rsidP="009B36E1">
      <w:pPr>
        <w:spacing w:after="0" w:line="240" w:lineRule="auto"/>
      </w:pPr>
      <w:r>
        <w:separator/>
      </w:r>
    </w:p>
  </w:endnote>
  <w:endnote w:type="continuationSeparator" w:id="0">
    <w:p w14:paraId="2EFE20DB" w14:textId="77777777" w:rsidR="009B36E1" w:rsidRDefault="009B36E1" w:rsidP="009B3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092661"/>
      <w:docPartObj>
        <w:docPartGallery w:val="Page Numbers (Bottom of Page)"/>
        <w:docPartUnique/>
      </w:docPartObj>
    </w:sdtPr>
    <w:sdtEndPr>
      <w:rPr>
        <w:noProof/>
      </w:rPr>
    </w:sdtEndPr>
    <w:sdtContent>
      <w:p w14:paraId="564CE152" w14:textId="15452BE2" w:rsidR="009B36E1" w:rsidRDefault="009B36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7FCCEC" w14:textId="77777777" w:rsidR="009B36E1" w:rsidRDefault="009B3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0F905" w14:textId="77777777" w:rsidR="009B36E1" w:rsidRDefault="009B36E1" w:rsidP="009B36E1">
      <w:pPr>
        <w:spacing w:after="0" w:line="240" w:lineRule="auto"/>
      </w:pPr>
      <w:r>
        <w:separator/>
      </w:r>
    </w:p>
  </w:footnote>
  <w:footnote w:type="continuationSeparator" w:id="0">
    <w:p w14:paraId="7140ED52" w14:textId="77777777" w:rsidR="009B36E1" w:rsidRDefault="009B36E1" w:rsidP="009B36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E1"/>
    <w:rsid w:val="009B36E1"/>
    <w:rsid w:val="00B5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47DD"/>
  <w15:chartTrackingRefBased/>
  <w15:docId w15:val="{9800F126-141A-408A-9445-EDCE3595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6E1"/>
  </w:style>
  <w:style w:type="paragraph" w:styleId="Footer">
    <w:name w:val="footer"/>
    <w:basedOn w:val="Normal"/>
    <w:link w:val="FooterChar"/>
    <w:uiPriority w:val="99"/>
    <w:unhideWhenUsed/>
    <w:rsid w:val="009B3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790">
      <w:bodyDiv w:val="1"/>
      <w:marLeft w:val="0"/>
      <w:marRight w:val="0"/>
      <w:marTop w:val="0"/>
      <w:marBottom w:val="0"/>
      <w:divBdr>
        <w:top w:val="none" w:sz="0" w:space="0" w:color="auto"/>
        <w:left w:val="none" w:sz="0" w:space="0" w:color="auto"/>
        <w:bottom w:val="none" w:sz="0" w:space="0" w:color="auto"/>
        <w:right w:val="none" w:sz="0" w:space="0" w:color="auto"/>
      </w:divBdr>
    </w:div>
    <w:div w:id="249892151">
      <w:bodyDiv w:val="1"/>
      <w:marLeft w:val="0"/>
      <w:marRight w:val="0"/>
      <w:marTop w:val="0"/>
      <w:marBottom w:val="0"/>
      <w:divBdr>
        <w:top w:val="none" w:sz="0" w:space="0" w:color="auto"/>
        <w:left w:val="none" w:sz="0" w:space="0" w:color="auto"/>
        <w:bottom w:val="none" w:sz="0" w:space="0" w:color="auto"/>
        <w:right w:val="none" w:sz="0" w:space="0" w:color="auto"/>
      </w:divBdr>
    </w:div>
    <w:div w:id="379746013">
      <w:bodyDiv w:val="1"/>
      <w:marLeft w:val="0"/>
      <w:marRight w:val="0"/>
      <w:marTop w:val="0"/>
      <w:marBottom w:val="0"/>
      <w:divBdr>
        <w:top w:val="none" w:sz="0" w:space="0" w:color="auto"/>
        <w:left w:val="none" w:sz="0" w:space="0" w:color="auto"/>
        <w:bottom w:val="none" w:sz="0" w:space="0" w:color="auto"/>
        <w:right w:val="none" w:sz="0" w:space="0" w:color="auto"/>
      </w:divBdr>
    </w:div>
    <w:div w:id="729619569">
      <w:bodyDiv w:val="1"/>
      <w:marLeft w:val="0"/>
      <w:marRight w:val="0"/>
      <w:marTop w:val="0"/>
      <w:marBottom w:val="0"/>
      <w:divBdr>
        <w:top w:val="none" w:sz="0" w:space="0" w:color="auto"/>
        <w:left w:val="none" w:sz="0" w:space="0" w:color="auto"/>
        <w:bottom w:val="none" w:sz="0" w:space="0" w:color="auto"/>
        <w:right w:val="none" w:sz="0" w:space="0" w:color="auto"/>
      </w:divBdr>
    </w:div>
    <w:div w:id="8688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cp:revision>
  <dcterms:created xsi:type="dcterms:W3CDTF">2020-01-25T16:33:00Z</dcterms:created>
  <dcterms:modified xsi:type="dcterms:W3CDTF">2020-01-25T16:37:00Z</dcterms:modified>
</cp:coreProperties>
</file>