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officeDocument/2006/relationships" xmlns:w="http://schemas.openxmlformats.org/wordprocessingml/2006/main">
  <w:body>
    <w:p>
      <w:pPr>
        <w:pStyle w:val="style0"/>
        <w:jc w:val="center"/>
        <w:rPr>
          <w:rFonts w:ascii="Verdana" w:hAnsi="Verdana"/>
          <w:b/>
          <w:szCs w:val="24"/>
        </w:rPr>
      </w:pPr>
      <w:r>
        <w:rPr>
          <w:rFonts w:ascii="Verdana" w:hAnsi="Verdana"/>
          <w:b/>
          <w:szCs w:val="24"/>
        </w:rPr>
        <w:t>ACCOMPLISHMENT AND CONSULTATION FORM</w:t>
      </w:r>
    </w:p>
    <w:p>
      <w:pPr>
        <w:pStyle w:val="style0"/>
        <w:jc w:val="center"/>
        <w:rPr>
          <w:rFonts w:ascii="Verdana" w:hAnsi="Verdana"/>
          <w:b/>
          <w:szCs w:val="24"/>
        </w:rPr>
      </w:pPr>
    </w:p>
    <w:p>
      <w:pPr>
        <w:pStyle w:val="style0"/>
        <w:jc w:val="both"/>
        <w:rPr>
          <w:rFonts w:ascii="Verdana" w:hAnsi="Verdana"/>
          <w:b/>
          <w:sz w:val="20"/>
          <w:szCs w:val="24"/>
        </w:rPr>
      </w:pPr>
      <w:r>
        <w:rPr>
          <w:rFonts w:ascii="Verdana" w:hAnsi="Verdana"/>
          <w:sz w:val="20"/>
          <w:szCs w:val="24"/>
        </w:rPr>
        <w:t xml:space="preserve">INSTRUCTION: </w:t>
      </w:r>
      <w:r>
        <w:rPr>
          <w:rFonts w:ascii="Verdana" w:hAnsi="Verdana"/>
          <w:sz w:val="20"/>
          <w:szCs w:val="24"/>
        </w:rPr>
        <w:t>List all the activities</w:t>
      </w:r>
      <w:r>
        <w:rPr>
          <w:rFonts w:ascii="Verdana" w:hAnsi="Verdana"/>
          <w:sz w:val="20"/>
          <w:szCs w:val="24"/>
        </w:rPr>
        <w:t xml:space="preserve">, </w:t>
      </w:r>
      <w:r>
        <w:rPr>
          <w:rFonts w:ascii="Verdana" w:hAnsi="Verdana"/>
          <w:sz w:val="20"/>
          <w:szCs w:val="24"/>
        </w:rPr>
        <w:t>improvements</w:t>
      </w:r>
      <w:r>
        <w:rPr>
          <w:rFonts w:ascii="Verdana" w:hAnsi="Verdana"/>
          <w:sz w:val="20"/>
          <w:szCs w:val="24"/>
        </w:rPr>
        <w:t>,</w:t>
      </w:r>
      <w:r>
        <w:rPr>
          <w:rFonts w:ascii="Verdana" w:hAnsi="Verdana"/>
          <w:sz w:val="20"/>
          <w:szCs w:val="24"/>
        </w:rPr>
        <w:t xml:space="preserve"> or accomplishments </w:t>
      </w:r>
      <w:r>
        <w:rPr>
          <w:rFonts w:ascii="Verdana" w:hAnsi="Verdana"/>
          <w:sz w:val="20"/>
          <w:szCs w:val="24"/>
        </w:rPr>
        <w:t xml:space="preserve">in your </w:t>
      </w:r>
      <w:r>
        <w:rPr>
          <w:rFonts w:ascii="Verdana" w:hAnsi="Verdana"/>
          <w:sz w:val="20"/>
          <w:szCs w:val="24"/>
        </w:rPr>
        <w:t>Thesis/Capstone Project</w:t>
      </w:r>
      <w:r>
        <w:rPr>
          <w:rFonts w:ascii="Verdana" w:hAnsi="Verdana"/>
          <w:sz w:val="20"/>
          <w:szCs w:val="24"/>
        </w:rPr>
        <w:t xml:space="preserve"> Documentation and System/Prototype. This form may be reproduced as you go along with your </w:t>
      </w:r>
      <w:r>
        <w:rPr>
          <w:rFonts w:ascii="Verdana" w:hAnsi="Verdana"/>
          <w:sz w:val="20"/>
          <w:szCs w:val="24"/>
        </w:rPr>
        <w:t>thesis</w:t>
      </w:r>
      <w:r>
        <w:rPr>
          <w:rFonts w:ascii="Verdana" w:hAnsi="Verdana"/>
          <w:sz w:val="20"/>
          <w:szCs w:val="24"/>
        </w:rPr>
        <w:t>/capstone project</w:t>
      </w:r>
      <w:r>
        <w:rPr>
          <w:rFonts w:ascii="Verdana" w:hAnsi="Verdana"/>
          <w:sz w:val="20"/>
          <w:szCs w:val="24"/>
        </w:rPr>
        <w:t xml:space="preserve">. This form should be submitted to your </w:t>
      </w:r>
      <w:r>
        <w:rPr>
          <w:rFonts w:ascii="Verdana" w:hAnsi="Verdana"/>
          <w:sz w:val="20"/>
          <w:szCs w:val="24"/>
        </w:rPr>
        <w:t>Thesis/Capstone Project</w:t>
      </w:r>
      <w:r>
        <w:rPr>
          <w:rFonts w:ascii="Verdana" w:hAnsi="Verdana"/>
          <w:sz w:val="20"/>
          <w:szCs w:val="24"/>
        </w:rPr>
        <w:t xml:space="preserve"> Adviser every week</w:t>
      </w:r>
      <w:r>
        <w:rPr>
          <w:rFonts w:ascii="Verdana" w:hAnsi="Verdana"/>
          <w:sz w:val="20"/>
          <w:szCs w:val="24"/>
        </w:rPr>
        <w:t xml:space="preserve">. </w:t>
      </w:r>
    </w:p>
    <w:p>
      <w:pPr>
        <w:pStyle w:val="style0"/>
        <w:rPr>
          <w:rFonts w:ascii="Verdana" w:hAnsi="Verdana"/>
          <w:szCs w:val="24"/>
        </w:rPr>
      </w:pPr>
    </w:p>
    <w:p>
      <w:pPr>
        <w:pStyle w:val="style0"/>
        <w:rPr>
          <w:rFonts w:ascii="Verdana" w:hAnsi="Verdana"/>
          <w:sz w:val="20"/>
        </w:rPr>
      </w:pPr>
      <w:r>
        <w:rPr>
          <w:rFonts w:ascii="Verdana" w:hAnsi="Verdana"/>
          <w:sz w:val="20"/>
        </w:rPr>
        <w:t>Thesis/Capstone Project</w:t>
      </w:r>
      <w:r>
        <w:rPr>
          <w:rFonts w:ascii="Verdana" w:hAnsi="Verdana"/>
          <w:sz w:val="20"/>
        </w:rPr>
        <w:t xml:space="preserve"> Title: </w:t>
      </w:r>
      <w:r>
        <w:rPr>
          <w:rFonts w:hAnsi="Verdana"/>
          <w:b/>
          <w:bCs/>
          <w:sz w:val="20"/>
          <w:u w:val="single"/>
          <w:lang w:val="en-US"/>
        </w:rPr>
        <w:t>SmartLib:A Web and Mobile-Based SmartLibrary System with Online Printing Service Requestsfor STI College Ormoc</w:t>
      </w:r>
      <w:r>
        <w:rPr>
          <w:rFonts w:hAnsi="Verdana"/>
          <w:sz w:val="20"/>
          <w:lang w:val="en-US"/>
        </w:rPr>
        <w:cr/>
      </w:r>
    </w:p>
    <w:p>
      <w:pPr>
        <w:pStyle w:val="style0"/>
        <w:rPr>
          <w:rFonts w:ascii="Verdana" w:hAnsi="Verdana"/>
          <w:sz w:val="20"/>
        </w:rPr>
      </w:pPr>
      <w:r>
        <w:rPr>
          <w:rFonts w:ascii="Verdana" w:hAnsi="Verdana"/>
          <w:sz w:val="20"/>
        </w:rPr>
        <w:t>Week Number</w:t>
      </w:r>
      <w:r>
        <w:rPr>
          <w:rFonts w:ascii="Verdana" w:hAnsi="Verdana"/>
          <w:sz w:val="20"/>
        </w:rPr>
        <w:t>: _________</w:t>
      </w:r>
    </w:p>
    <w:tbl>
      <w:tblPr>
        <w:tblpPr w:leftFromText="180" w:rightFromText="180" w:topFromText="0" w:bottomFromText="0" w:vertAnchor="text" w:horzAnchor="margin" w:tblpXSpec="left"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trPr>
          <w:trHeight w:val="638" w:hRule="atLeast"/>
          <w:tblHeader/>
        </w:trPr>
        <w:tc>
          <w:tcPr>
            <w:tcW w:w="4673" w:type="dxa"/>
            <w:tcBorders/>
            <w:shd w:val="clear" w:color="auto" w:fill="767171"/>
            <w:vAlign w:val="center"/>
          </w:tcPr>
          <w:p>
            <w:pPr>
              <w:pStyle w:val="style0"/>
              <w:jc w:val="center"/>
              <w:rPr>
                <w:rFonts w:ascii="Verdana" w:hAnsi="Verdana"/>
                <w:b/>
                <w:color w:val="ffffff"/>
                <w:sz w:val="19"/>
                <w:szCs w:val="19"/>
              </w:rPr>
            </w:pPr>
            <w:r>
              <w:rPr>
                <w:rFonts w:ascii="Verdana" w:hAnsi="Verdana"/>
                <w:b/>
                <w:color w:val="ffffff"/>
                <w:sz w:val="19"/>
                <w:szCs w:val="19"/>
              </w:rPr>
              <w:t xml:space="preserve">ACTIVITY/ </w:t>
            </w:r>
          </w:p>
          <w:p>
            <w:pPr>
              <w:pStyle w:val="style0"/>
              <w:jc w:val="center"/>
              <w:rPr>
                <w:rFonts w:ascii="Verdana" w:hAnsi="Verdana"/>
                <w:b/>
                <w:color w:val="ffffff"/>
                <w:sz w:val="19"/>
                <w:szCs w:val="19"/>
              </w:rPr>
            </w:pPr>
            <w:r>
              <w:rPr>
                <w:rFonts w:ascii="Verdana" w:hAnsi="Verdana"/>
                <w:b/>
                <w:color w:val="ffffff"/>
                <w:sz w:val="19"/>
                <w:szCs w:val="19"/>
              </w:rPr>
              <w:t>ACCOMPLISHMENT</w:t>
            </w:r>
          </w:p>
        </w:tc>
        <w:tc>
          <w:tcPr>
            <w:tcW w:w="4682" w:type="dxa"/>
            <w:tcBorders/>
            <w:shd w:val="clear" w:color="auto" w:fill="767171"/>
            <w:vAlign w:val="center"/>
          </w:tcPr>
          <w:p>
            <w:pPr>
              <w:pStyle w:val="style0"/>
              <w:jc w:val="center"/>
              <w:rPr>
                <w:rFonts w:ascii="Verdana" w:hAnsi="Verdana"/>
                <w:b/>
                <w:color w:val="ffffff"/>
                <w:sz w:val="19"/>
                <w:szCs w:val="19"/>
              </w:rPr>
            </w:pPr>
            <w:r>
              <w:rPr>
                <w:rFonts w:ascii="Verdana" w:hAnsi="Verdana"/>
                <w:b/>
                <w:color w:val="ffffff"/>
                <w:sz w:val="19"/>
                <w:szCs w:val="19"/>
              </w:rPr>
              <w:t xml:space="preserve">REMARKS/ COMMENTS/ SUGGESTIONS/ </w:t>
            </w:r>
          </w:p>
          <w:p>
            <w:pPr>
              <w:pStyle w:val="style0"/>
              <w:jc w:val="center"/>
              <w:rPr>
                <w:rFonts w:ascii="Verdana" w:hAnsi="Verdana"/>
                <w:b/>
                <w:color w:val="ffffff"/>
                <w:sz w:val="19"/>
                <w:szCs w:val="19"/>
              </w:rPr>
            </w:pPr>
            <w:r>
              <w:rPr>
                <w:rFonts w:ascii="Verdana" w:hAnsi="Verdana"/>
                <w:b/>
                <w:color w:val="ffffff"/>
                <w:sz w:val="19"/>
                <w:szCs w:val="19"/>
              </w:rPr>
              <w:t>DELIVERABLES and DUE DATE</w:t>
            </w:r>
          </w:p>
        </w:tc>
      </w:tr>
      <w:tr>
        <w:tblPrEx/>
        <w:trPr/>
        <w:tc>
          <w:tcPr>
            <w:tcW w:w="4673" w:type="dxa"/>
            <w:tcBorders/>
            <w:shd w:val="clear" w:color="auto" w:fill="auto"/>
          </w:tcPr>
          <w:p>
            <w:pPr>
              <w:spacing w:before="0" w:after="0" w:line="210" w:lineRule="auto"/>
            </w:pPr>
            <w:r>
              <w:rPr>
                <w:rFonts w:ascii="Arial" w:hAnsi="Arial"/>
                <w:sz w:val="18"/>
                <w:szCs w:val="18"/>
              </w:rPr>
              <w:t xml:space="preserve">1. Reviewed and organized the Final Draft and Administrative System Flow as the project's source-of-truth references.</w:t>
            </w:r>
          </w:p>
        </w:tc>
        <w:tc>
          <w:tcPr>
            <w:tcW w:w="4682" w:type="dxa"/>
            <w:tcBorders/>
            <w:shd w:val="clear" w:color="auto" w:fill="auto"/>
          </w:tcPr>
          <w:p>
            <w:pPr>
              <w:spacing w:before="0" w:after="0" w:line="210" w:lineRule="auto"/>
            </w:pPr>
            <w:r>
              <w:rPr>
                <w:rFonts w:ascii="Arial" w:hAnsi="Arial"/>
                <w:sz w:val="18"/>
                <w:szCs w:val="18"/>
              </w:rPr>
              <w:t xml:space="preserve">Completed - requirements, actors, policies, system flows, and implementation gaps were documented.</w:t>
            </w:r>
          </w:p>
        </w:tc>
      </w:tr>
      <w:tr>
        <w:tblPrEx/>
        <w:trPr/>
        <w:tc>
          <w:tcPr>
            <w:tcW w:w="4673" w:type="dxa"/>
            <w:tcBorders/>
            <w:shd w:val="clear" w:color="auto" w:fill="auto"/>
          </w:tcPr>
          <w:p>
            <w:pPr>
              <w:spacing w:before="0" w:after="0" w:line="210" w:lineRule="auto"/>
            </w:pPr>
            <w:r>
              <w:rPr>
                <w:rFonts w:ascii="Arial" w:hAnsi="Arial"/>
                <w:sz w:val="18"/>
                <w:szCs w:val="18"/>
              </w:rPr>
              <w:t xml:space="preserve">2. Established the SmartLib modular-monolith architecture for the React web client, Node.js/Express API, and MySQL database.</w:t>
            </w:r>
          </w:p>
        </w:tc>
        <w:tc>
          <w:tcPr>
            <w:tcW w:w="4682" w:type="dxa"/>
            <w:tcBorders/>
            <w:shd w:val="clear" w:color="auto" w:fill="auto"/>
          </w:tcPr>
          <w:p>
            <w:pPr>
              <w:spacing w:before="0" w:after="0" w:line="210" w:lineRule="auto"/>
            </w:pPr>
            <w:r>
              <w:rPr>
                <w:rFonts w:ascii="Arial" w:hAnsi="Arial"/>
                <w:sz w:val="18"/>
                <w:szCs w:val="18"/>
              </w:rPr>
              <w:t xml:space="preserve">Completed - consistent frontend, backend, module, and database boundaries were defined.</w:t>
            </w:r>
          </w:p>
        </w:tc>
      </w:tr>
      <w:tr>
        <w:tblPrEx/>
        <w:trPr/>
        <w:tc>
          <w:tcPr>
            <w:tcW w:w="4673" w:type="dxa"/>
            <w:tcBorders/>
            <w:shd w:val="clear" w:color="auto" w:fill="auto"/>
          </w:tcPr>
          <w:p>
            <w:pPr>
              <w:spacing w:before="0" w:after="0" w:line="210" w:lineRule="auto"/>
            </w:pPr>
            <w:r>
              <w:rPr>
                <w:rFonts w:ascii="Arial" w:hAnsi="Arial"/>
                <w:sz w:val="18"/>
                <w:szCs w:val="18"/>
              </w:rPr>
              <w:t xml:space="preserve">3. Created the development architecture guide, source-of-truth index, schema context, and module implementation documentation.</w:t>
            </w:r>
          </w:p>
        </w:tc>
        <w:tc>
          <w:tcPr>
            <w:tcW w:w="4682" w:type="dxa"/>
            <w:tcBorders/>
            <w:shd w:val="clear" w:color="auto" w:fill="auto"/>
          </w:tcPr>
          <w:p>
            <w:pPr>
              <w:spacing w:before="0" w:after="0" w:line="210" w:lineRule="auto"/>
            </w:pPr>
            <w:r>
              <w:rPr>
                <w:rFonts w:ascii="Arial" w:hAnsi="Arial"/>
                <w:sz w:val="18"/>
                <w:szCs w:val="18"/>
              </w:rPr>
              <w:t xml:space="preserve">Completed - agent.md and supporting documents now guide future development and migrations.</w:t>
            </w:r>
          </w:p>
        </w:tc>
      </w:tr>
      <w:tr>
        <w:tblPrEx/>
        <w:trPr/>
        <w:tc>
          <w:tcPr>
            <w:tcW w:w="4673" w:type="dxa"/>
            <w:tcBorders/>
            <w:shd w:val="clear" w:color="auto" w:fill="auto"/>
          </w:tcPr>
          <w:p>
            <w:pPr>
              <w:spacing w:before="0" w:after="0" w:line="210" w:lineRule="auto"/>
            </w:pPr>
            <w:r>
              <w:rPr>
                <w:rFonts w:ascii="Arial" w:hAnsi="Arial"/>
                <w:sz w:val="18"/>
                <w:szCs w:val="18"/>
              </w:rPr>
              <w:t xml:space="preserve">4. Built the TypeScript monorepo scaffolding with React, Vite, Tailwind CSS, Node.js, and Express.js.</w:t>
            </w:r>
          </w:p>
        </w:tc>
        <w:tc>
          <w:tcPr>
            <w:tcW w:w="4682" w:type="dxa"/>
            <w:tcBorders/>
            <w:shd w:val="clear" w:color="auto" w:fill="auto"/>
          </w:tcPr>
          <w:p>
            <w:pPr>
              <w:spacing w:before="0" w:after="0" w:line="210" w:lineRule="auto"/>
            </w:pPr>
            <w:r>
              <w:rPr>
                <w:rFonts w:ascii="Arial" w:hAnsi="Arial"/>
                <w:sz w:val="18"/>
                <w:szCs w:val="18"/>
              </w:rPr>
              <w:t xml:space="preserve">Completed - web and API workspaces run under the existing npm workspace structure.</w:t>
            </w:r>
          </w:p>
        </w:tc>
      </w:tr>
      <w:tr>
        <w:tblPrEx/>
        <w:trPr/>
        <w:tc>
          <w:tcPr>
            <w:tcW w:w="4673" w:type="dxa"/>
            <w:tcBorders/>
            <w:shd w:val="clear" w:color="auto" w:fill="auto"/>
          </w:tcPr>
          <w:p>
            <w:pPr>
              <w:spacing w:before="0" w:after="0" w:line="210" w:lineRule="auto"/>
            </w:pPr>
            <w:r>
              <w:rPr>
                <w:rFonts w:ascii="Arial" w:hAnsi="Arial"/>
                <w:sz w:val="18"/>
                <w:szCs w:val="18"/>
              </w:rPr>
              <w:t xml:space="preserve">5. Designed the MySQL 5.6-compatible database baseline and ordered migration system with migration ledger and checksums.</w:t>
            </w:r>
          </w:p>
        </w:tc>
        <w:tc>
          <w:tcPr>
            <w:tcW w:w="4682" w:type="dxa"/>
            <w:tcBorders/>
            <w:shd w:val="clear" w:color="auto" w:fill="auto"/>
          </w:tcPr>
          <w:p>
            <w:pPr>
              <w:spacing w:before="0" w:after="0" w:line="210" w:lineRule="auto"/>
            </w:pPr>
            <w:r>
              <w:rPr>
                <w:rFonts w:ascii="Arial" w:hAnsi="Arial"/>
                <w:sz w:val="18"/>
                <w:szCs w:val="18"/>
              </w:rPr>
              <w:t xml:space="preserve">Completed - InnoDB tables, indexes, foreign keys, and production-safe migration commands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6. Configured MySQL connectivity, environment variables, schema execution, database health checks, and migration-readiness reporting.</w:t>
            </w:r>
          </w:p>
        </w:tc>
        <w:tc>
          <w:tcPr>
            <w:tcW w:w="4682" w:type="dxa"/>
            <w:tcBorders/>
            <w:shd w:val="clear" w:color="auto" w:fill="auto"/>
          </w:tcPr>
          <w:p>
            <w:pPr>
              <w:spacing w:before="0" w:after="0" w:line="210" w:lineRule="auto"/>
            </w:pPr>
            <w:r>
              <w:rPr>
                <w:rFonts w:ascii="Arial" w:hAnsi="Arial"/>
                <w:sz w:val="18"/>
                <w:szCs w:val="18"/>
              </w:rPr>
              <w:t xml:space="preserve">Completed - database errors now provide clear operational messages instead of generic failures.</w:t>
            </w:r>
          </w:p>
        </w:tc>
      </w:tr>
      <w:tr>
        <w:tblPrEx/>
        <w:trPr/>
        <w:tc>
          <w:tcPr>
            <w:tcW w:w="4673" w:type="dxa"/>
            <w:tcBorders/>
            <w:shd w:val="clear" w:color="auto" w:fill="auto"/>
          </w:tcPr>
          <w:p>
            <w:pPr>
              <w:spacing w:before="0" w:after="0" w:line="210" w:lineRule="auto"/>
            </w:pPr>
            <w:r>
              <w:rPr>
                <w:rFonts w:ascii="Arial" w:hAnsi="Arial"/>
                <w:sz w:val="18"/>
                <w:szCs w:val="18"/>
              </w:rPr>
              <w:t xml:space="preserve">7. Implemented secure multi-role authentication for Admin, Librarian, Student, and Faculty accounts.</w:t>
            </w:r>
          </w:p>
        </w:tc>
        <w:tc>
          <w:tcPr>
            <w:tcW w:w="4682" w:type="dxa"/>
            <w:tcBorders/>
            <w:shd w:val="clear" w:color="auto" w:fill="auto"/>
          </w:tcPr>
          <w:p>
            <w:pPr>
              <w:spacing w:before="0" w:after="0" w:line="210" w:lineRule="auto"/>
            </w:pPr>
            <w:r>
              <w:rPr>
                <w:rFonts w:ascii="Arial" w:hAnsi="Arial"/>
                <w:sz w:val="18"/>
                <w:szCs w:val="18"/>
              </w:rPr>
              <w:t xml:space="preserve">Completed - bcrypt hashing, prepared statements, sessions/JWT, CSRF protection, RBAC, logout, and role-based routing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8. Implemented normalized account registration using separate accounts and student profile records.</w:t>
            </w:r>
          </w:p>
        </w:tc>
        <w:tc>
          <w:tcPr>
            <w:tcW w:w="4682" w:type="dxa"/>
            <w:tcBorders/>
            <w:shd w:val="clear" w:color="auto" w:fill="auto"/>
          </w:tcPr>
          <w:p>
            <w:pPr>
              <w:spacing w:before="0" w:after="0" w:line="210" w:lineRule="auto"/>
            </w:pPr>
            <w:r>
              <w:rPr>
                <w:rFonts w:ascii="Arial" w:hAnsi="Arial"/>
                <w:sz w:val="18"/>
                <w:szCs w:val="18"/>
              </w:rPr>
              <w:t xml:space="preserve">Completed - validation, duplicate school-ID checks, password confirmation, transactional inserts, and login verification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9. Created a dedicated administrator login portal and valid administrator account workflow.</w:t>
            </w:r>
          </w:p>
        </w:tc>
        <w:tc>
          <w:tcPr>
            <w:tcW w:w="4682" w:type="dxa"/>
            <w:tcBorders/>
            <w:shd w:val="clear" w:color="auto" w:fill="auto"/>
          </w:tcPr>
          <w:p>
            <w:pPr>
              <w:spacing w:before="0" w:after="0" w:line="210" w:lineRule="auto"/>
            </w:pPr>
            <w:r>
              <w:rPr>
                <w:rFonts w:ascii="Arial" w:hAnsi="Arial"/>
                <w:sz w:val="18"/>
                <w:szCs w:val="18"/>
              </w:rPr>
              <w:t xml:space="preserve">Completed - administrative access is separated from Student/Faculty login and protected by role guards.</w:t>
            </w:r>
          </w:p>
        </w:tc>
      </w:tr>
      <w:tr>
        <w:tblPrEx/>
        <w:trPr/>
        <w:tc>
          <w:tcPr>
            <w:tcW w:w="4673" w:type="dxa"/>
            <w:tcBorders/>
            <w:shd w:val="clear" w:color="auto" w:fill="auto"/>
          </w:tcPr>
          <w:p>
            <w:pPr>
              <w:spacing w:before="0" w:after="0" w:line="210" w:lineRule="auto"/>
            </w:pPr>
            <w:r>
              <w:rPr>
                <w:rFonts w:ascii="Arial" w:hAnsi="Arial"/>
                <w:sz w:val="18"/>
                <w:szCs w:val="18"/>
              </w:rPr>
              <w:t xml:space="preserve">10. Built the responsive administrative workspace with sidebar navigation and protected module routes.</w:t>
            </w:r>
          </w:p>
        </w:tc>
        <w:tc>
          <w:tcPr>
            <w:tcW w:w="4682" w:type="dxa"/>
            <w:tcBorders/>
            <w:shd w:val="clear" w:color="auto" w:fill="auto"/>
          </w:tcPr>
          <w:p>
            <w:pPr>
              <w:spacing w:before="0" w:after="0" w:line="210" w:lineRule="auto"/>
            </w:pPr>
            <w:r>
              <w:rPr>
                <w:rFonts w:ascii="Arial" w:hAnsi="Arial"/>
                <w:sz w:val="18"/>
                <w:szCs w:val="18"/>
              </w:rPr>
              <w:t xml:space="preserve">Completed - administrators can navigate the dashboard, catalog, categories, circulation, reservations, inventory, and reports.</w:t>
            </w:r>
          </w:p>
        </w:tc>
      </w:tr>
      <w:tr>
        <w:tblPrEx/>
        <w:trPr/>
        <w:tc>
          <w:tcPr>
            <w:tcW w:w="4673" w:type="dxa"/>
            <w:tcBorders/>
            <w:shd w:val="clear" w:color="auto" w:fill="auto"/>
          </w:tcPr>
          <w:p>
            <w:pPr>
              <w:spacing w:before="0" w:after="0" w:line="210" w:lineRule="auto"/>
            </w:pPr>
            <w:r>
              <w:rPr>
                <w:rFonts w:ascii="Arial" w:hAnsi="Arial"/>
                <w:sz w:val="18"/>
                <w:szCs w:val="18"/>
              </w:rPr>
              <w:t xml:space="preserve">11. Implemented Category Management with create, update, listing, material counters, deletion guards, and reassignment logic.</w:t>
            </w:r>
          </w:p>
        </w:tc>
        <w:tc>
          <w:tcPr>
            <w:tcW w:w="4682" w:type="dxa"/>
            <w:tcBorders/>
            <w:shd w:val="clear" w:color="auto" w:fill="auto"/>
          </w:tcPr>
          <w:p>
            <w:pPr>
              <w:spacing w:before="0" w:after="0" w:line="210" w:lineRule="auto"/>
            </w:pPr>
            <w:r>
              <w:rPr>
                <w:rFonts w:ascii="Arial" w:hAnsi="Arial"/>
                <w:sz w:val="18"/>
                <w:szCs w:val="18"/>
              </w:rPr>
              <w:t xml:space="preserve">Completed - uniqueness, shelf-location validation, RBAC, transactions, UI dialogs, and integrity tests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12. Implemented normalized Book and Research/Thesis catalog management using titles, authors, research records, and physical copies.</w:t>
            </w:r>
          </w:p>
        </w:tc>
        <w:tc>
          <w:tcPr>
            <w:tcW w:w="4682" w:type="dxa"/>
            <w:tcBorders/>
            <w:shd w:val="clear" w:color="auto" w:fill="auto"/>
          </w:tcPr>
          <w:p>
            <w:pPr>
              <w:spacing w:before="0" w:after="0" w:line="210" w:lineRule="auto"/>
            </w:pPr>
            <w:r>
              <w:rPr>
                <w:rFonts w:ascii="Arial" w:hAnsi="Arial"/>
                <w:sz w:val="18"/>
                <w:szCs w:val="18"/>
              </w:rPr>
              <w:t xml:space="preserve">Completed - manual ISBN/barcode entry, metadata forms, shelf assignment, search, filters, archive/delete guards, and catalog views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13. Implemented the physical book Inventory Management dashboard and copy register.</w:t>
            </w:r>
          </w:p>
        </w:tc>
        <w:tc>
          <w:tcPr>
            <w:tcW w:w="4682" w:type="dxa"/>
            <w:tcBorders/>
            <w:shd w:val="clear" w:color="auto" w:fill="auto"/>
          </w:tcPr>
          <w:p>
            <w:pPr>
              <w:spacing w:before="0" w:after="0" w:line="210" w:lineRule="auto"/>
            </w:pPr>
            <w:r>
              <w:rPr>
                <w:rFonts w:ascii="Arial" w:hAnsi="Arial"/>
                <w:sz w:val="18"/>
                <w:szCs w:val="18"/>
              </w:rPr>
              <w:t xml:space="preserve">Completed - KPI cards, pagination, search/filter controls, barcode scanner handling, last-verified tracking, and empty states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14. Implemented inventory condition auditing and manual availability control.</w:t>
            </w:r>
          </w:p>
        </w:tc>
        <w:tc>
          <w:tcPr>
            <w:tcW w:w="4682" w:type="dxa"/>
            <w:tcBorders/>
            <w:shd w:val="clear" w:color="auto" w:fill="auto"/>
          </w:tcPr>
          <w:p>
            <w:pPr>
              <w:spacing w:before="0" w:after="0" w:line="210" w:lineRule="auto"/>
            </w:pPr>
            <w:r>
              <w:rPr>
                <w:rFonts w:ascii="Arial" w:hAnsi="Arial"/>
                <w:sz w:val="18"/>
                <w:szCs w:val="18"/>
              </w:rPr>
              <w:t xml:space="preserve">Completed - Good, Fair, For Repair, and Damaged preserve availability; Lost alone forces Unavailable, with transactional audit history.</w:t>
            </w:r>
          </w:p>
        </w:tc>
      </w:tr>
      <w:tr>
        <w:tblPrEx/>
        <w:trPr/>
        <w:tc>
          <w:tcPr>
            <w:tcW w:w="4673" w:type="dxa"/>
            <w:tcBorders/>
            <w:shd w:val="clear" w:color="auto" w:fill="auto"/>
          </w:tcPr>
          <w:p>
            <w:pPr>
              <w:spacing w:before="0" w:after="0" w:line="210" w:lineRule="auto"/>
            </w:pPr>
            <w:r>
              <w:rPr>
                <w:rFonts w:ascii="Arial" w:hAnsi="Arial"/>
                <w:sz w:val="18"/>
                <w:szCs w:val="18"/>
              </w:rPr>
              <w:t xml:space="preserve">15. Replaced browser confirmation prompts with customized availability and audit confirmation dialogs.</w:t>
            </w:r>
          </w:p>
        </w:tc>
        <w:tc>
          <w:tcPr>
            <w:tcW w:w="4682" w:type="dxa"/>
            <w:tcBorders/>
            <w:shd w:val="clear" w:color="auto" w:fill="auto"/>
          </w:tcPr>
          <w:p>
            <w:pPr>
              <w:spacing w:before="0" w:after="0" w:line="210" w:lineRule="auto"/>
            </w:pPr>
            <w:r>
              <w:rPr>
                <w:rFonts w:ascii="Arial" w:hAnsi="Arial"/>
                <w:sz w:val="18"/>
                <w:szCs w:val="18"/>
              </w:rPr>
              <w:t xml:space="preserve">Completed - accessible confirmation, loading, success, conflict, and cancellation states are displayed in the admin interface.</w:t>
            </w:r>
          </w:p>
        </w:tc>
      </w:tr>
      <w:tr>
        <w:tblPrEx/>
        <w:trPr/>
        <w:tc>
          <w:tcPr>
            <w:tcW w:w="4673" w:type="dxa"/>
            <w:tcBorders/>
            <w:shd w:val="clear" w:color="auto" w:fill="auto"/>
          </w:tcPr>
          <w:p>
            <w:pPr>
              <w:spacing w:before="0" w:after="0" w:line="210" w:lineRule="auto"/>
            </w:pPr>
            <w:r>
              <w:rPr>
                <w:rFonts w:ascii="Arial" w:hAnsi="Arial"/>
                <w:sz w:val="18"/>
                <w:szCs w:val="18"/>
              </w:rPr>
              <w:t xml:space="preserve">16. Implemented an independent Research and Thesis Inventory ledger for physically bound papers.</w:t>
            </w:r>
          </w:p>
        </w:tc>
        <w:tc>
          <w:tcPr>
            <w:tcW w:w="4682" w:type="dxa"/>
            <w:tcBorders/>
            <w:shd w:val="clear" w:color="auto" w:fill="auto"/>
          </w:tcPr>
          <w:p>
            <w:pPr>
              <w:spacing w:before="0" w:after="0" w:line="210" w:lineRule="auto"/>
            </w:pPr>
            <w:r>
              <w:rPr>
                <w:rFonts w:ascii="Arial" w:hAnsi="Arial"/>
                <w:sz w:val="18"/>
                <w:szCs w:val="18"/>
              </w:rPr>
              <w:t xml:space="preserve">Completed - thesis summaries, records, audit rules, search/filtering, pagination, manual availability, and Lost overrides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17. Connected published research records to the Research and Thesis Inventory in the same database transaction.</w:t>
            </w:r>
          </w:p>
        </w:tc>
        <w:tc>
          <w:tcPr>
            <w:tcW w:w="4682" w:type="dxa"/>
            <w:tcBorders/>
            <w:shd w:val="clear" w:color="auto" w:fill="auto"/>
          </w:tcPr>
          <w:p>
            <w:pPr>
              <w:spacing w:before="0" w:after="0" w:line="210" w:lineRule="auto"/>
            </w:pPr>
            <w:r>
              <w:rPr>
                <w:rFonts w:ascii="Arial" w:hAnsi="Arial"/>
                <w:sz w:val="18"/>
                <w:szCs w:val="18"/>
              </w:rPr>
              <w:t xml:space="preserve">Completed - newly published papers appear immediately, and a backward-safe migration covers earlier publications.</w:t>
            </w:r>
          </w:p>
        </w:tc>
      </w:tr>
      <w:tr>
        <w:tblPrEx/>
        <w:trPr/>
        <w:tc>
          <w:tcPr>
            <w:tcW w:w="4673" w:type="dxa"/>
            <w:tcBorders/>
            <w:shd w:val="clear" w:color="auto" w:fill="auto"/>
          </w:tcPr>
          <w:p>
            <w:pPr>
              <w:spacing w:before="0" w:after="0" w:line="210" w:lineRule="auto"/>
            </w:pPr>
            <w:r>
              <w:rPr>
                <w:rFonts w:ascii="Arial" w:hAnsi="Arial"/>
                <w:sz w:val="18"/>
                <w:szCs w:val="18"/>
              </w:rPr>
              <w:t xml:space="preserve">18. Implemented Reservation and Borrowing Management with queue processing and role-based borrowing limits.</w:t>
            </w:r>
          </w:p>
        </w:tc>
        <w:tc>
          <w:tcPr>
            <w:tcW w:w="4682" w:type="dxa"/>
            <w:tcBorders/>
            <w:shd w:val="clear" w:color="auto" w:fill="auto"/>
          </w:tcPr>
          <w:p>
            <w:pPr>
              <w:spacing w:before="0" w:after="0" w:line="210" w:lineRule="auto"/>
            </w:pPr>
            <w:r>
              <w:rPr>
                <w:rFonts w:ascii="Arial" w:hAnsi="Arial"/>
                <w:sz w:val="18"/>
                <w:szCs w:val="18"/>
              </w:rPr>
              <w:t xml:space="preserve">Completed - Student two-item limits, Faculty exemption, duplicate blocking, pickup deadlines, expiration release, and admin status controls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19. Implemented separate authenticated CSV and PDF inventory reports for books and research/thesis records.</w:t>
            </w:r>
          </w:p>
        </w:tc>
        <w:tc>
          <w:tcPr>
            <w:tcW w:w="4682" w:type="dxa"/>
            <w:tcBorders/>
            <w:shd w:val="clear" w:color="auto" w:fill="auto"/>
          </w:tcPr>
          <w:p>
            <w:pPr>
              <w:spacing w:before="0" w:after="0" w:line="210" w:lineRule="auto"/>
            </w:pPr>
            <w:r>
              <w:rPr>
                <w:rFonts w:ascii="Arial" w:hAnsi="Arial"/>
                <w:sz w:val="18"/>
                <w:szCs w:val="18"/>
              </w:rPr>
              <w:t xml:space="preserve">Completed - memory-efficient streaming, filters, branded PDF output, secure downloads, and empty-report handling were added.</w:t>
            </w:r>
          </w:p>
        </w:tc>
      </w:tr>
      <w:tr>
        <w:tblPrEx/>
        <w:trPr/>
        <w:tc>
          <w:tcPr>
            <w:tcW w:w="4673" w:type="dxa"/>
            <w:tcBorders/>
            <w:shd w:val="clear" w:color="auto" w:fill="auto"/>
          </w:tcPr>
          <w:p>
            <w:pPr>
              <w:spacing w:before="0" w:after="0" w:line="210" w:lineRule="auto"/>
            </w:pPr>
            <w:r>
              <w:rPr>
                <w:rFonts w:ascii="Arial" w:hAnsi="Arial"/>
                <w:sz w:val="18"/>
                <w:szCs w:val="18"/>
              </w:rPr>
              <w:t xml:space="preserve">20. Added automated unit/integration tests and verified frontend/backend type checks and production builds.</w:t>
            </w:r>
          </w:p>
        </w:tc>
        <w:tc>
          <w:tcPr>
            <w:tcW w:w="4682" w:type="dxa"/>
            <w:tcBorders/>
            <w:shd w:val="clear" w:color="auto" w:fill="auto"/>
          </w:tcPr>
          <w:p>
            <w:pPr>
              <w:spacing w:before="0" w:after="0" w:line="210" w:lineRule="auto"/>
            </w:pPr>
            <w:r>
              <w:rPr>
                <w:rFonts w:ascii="Arial" w:hAnsi="Arial"/>
                <w:sz w:val="18"/>
                <w:szCs w:val="18"/>
              </w:rPr>
              <w:t xml:space="preserve">Completed - authentication, categories, catalog, reservations, inventory auditing, thesis reporting, validation, RBAC, and rollback paths are covered.</w:t>
            </w:r>
          </w:p>
        </w:tc>
      </w:tr>
      <w:tr>
        <w:tblPrEx/>
        <w:trPr/>
        <w:tc>
          <w:tcPr>
            <w:tcW w:w="4673" w:type="dxa"/>
            <w:tcBorders/>
            <w:shd w:val="clear" w:color="auto" w:fill="auto"/>
          </w:tcPr>
          <w:p>
            <w:pPr>
              <w:spacing w:before="0" w:after="0" w:line="210" w:lineRule="auto"/>
            </w:pPr>
            <w:r>
              <w:rPr>
                <w:rFonts w:ascii="Arial" w:hAnsi="Arial"/>
                <w:sz w:val="18"/>
                <w:szCs w:val="18"/>
              </w:rPr>
              <w:t xml:space="preserve">21. Created a complete README setup guide for cloning, MySQL Workbench setup, environment configuration, migrations, administrator creation, running, testing, building, and troubleshooting.</w:t>
            </w:r>
          </w:p>
        </w:tc>
        <w:tc>
          <w:tcPr>
            <w:tcW w:w="4682" w:type="dxa"/>
            <w:tcBorders/>
            <w:shd w:val="clear" w:color="auto" w:fill="auto"/>
          </w:tcPr>
          <w:p>
            <w:pPr>
              <w:spacing w:before="0" w:after="0" w:line="210" w:lineRule="auto"/>
            </w:pPr>
            <w:r>
              <w:rPr>
                <w:rFonts w:ascii="Arial" w:hAnsi="Arial"/>
                <w:sz w:val="18"/>
                <w:szCs w:val="18"/>
              </w:rPr>
              <w:t xml:space="preserve">Completed - the repository now includes an end-to-end Windows setup and operation guide.</w:t>
            </w:r>
          </w:p>
        </w:tc>
      </w:tr>
      <w:tr>
        <w:tblPrEx/>
        <w:trPr/>
        <w:tc>
          <w:tcPr>
            <w:tcW w:w="4673" w:type="dxa"/>
            <w:tcBorders/>
            <w:shd w:val="clear" w:color="auto" w:fill="auto"/>
          </w:tcPr>
          <w:p>
            <w:pPr>
              <w:spacing w:before="0" w:after="0" w:line="210" w:lineRule="auto"/>
            </w:pPr>
            <w:r>
              <w:rPr>
                <w:rFonts w:ascii="Arial" w:hAnsi="Arial"/>
                <w:sz w:val="18"/>
                <w:szCs w:val="18"/>
              </w:rPr>
              <w:t xml:space="preserve">22. Versioned and pushed the completed SmartLib implementation to the GitHub repository.</w:t>
            </w:r>
          </w:p>
        </w:tc>
        <w:tc>
          <w:tcPr>
            <w:tcW w:w="4682" w:type="dxa"/>
            <w:tcBorders/>
            <w:shd w:val="clear" w:color="auto" w:fill="auto"/>
          </w:tcPr>
          <w:p>
            <w:pPr>
              <w:spacing w:before="0" w:after="0" w:line="210" w:lineRule="auto"/>
            </w:pPr>
            <w:r>
              <w:rPr>
                <w:rFonts w:ascii="Arial" w:hAnsi="Arial"/>
                <w:sz w:val="18"/>
                <w:szCs w:val="18"/>
              </w:rPr>
              <w:t xml:space="preserve">Completed - major modular-monolith, inventory, and thesis workflow changes are preserved in source control.</w:t>
            </w:r>
          </w:p>
        </w:tc>
      </w:tr>
      <w:tr>
        <w:tblPrEx/>
        <w:trPr>
          <w:trHeight w:val="1103" w:hRule="atLeast"/>
        </w:trPr>
        <w:tc>
          <w:tcPr>
            <w:tcW w:w="4673" w:type="dxa"/>
            <w:tcBorders/>
            <w:shd w:val="clear" w:color="auto" w:fill="auto"/>
          </w:tcPr>
          <w:p>
            <w:pPr>
              <w:pStyle w:val="style0"/>
              <w:rPr>
                <w:rFonts w:ascii="Verdana" w:hAnsi="Verdana"/>
                <w:b/>
                <w:bCs/>
                <w:sz w:val="19"/>
                <w:szCs w:val="19"/>
              </w:rPr>
            </w:pPr>
            <w:r>
              <w:rPr>
                <w:rFonts w:ascii="Verdana" w:hAnsi="Verdana"/>
                <w:b/>
                <w:bCs/>
                <w:sz w:val="19"/>
                <w:szCs w:val="19"/>
              </w:rPr>
              <w:t>Prepared by:</w:t>
            </w:r>
          </w:p>
          <w:p>
            <w:pPr>
              <w:pStyle w:val="style0"/>
              <w:rPr>
                <w:rFonts w:ascii="Verdana" w:hAnsi="Verdana"/>
                <w:sz w:val="19"/>
                <w:szCs w:val="19"/>
              </w:rPr>
            </w:pPr>
          </w:p>
          <w:p>
            <w:pPr>
              <w:pStyle w:val="style0"/>
              <w:rPr>
                <w:rFonts w:ascii="Verdana" w:hAnsi="Verdana"/>
                <w:sz w:val="19"/>
                <w:szCs w:val="19"/>
              </w:rPr>
            </w:pPr>
            <w:r>
              <w:rPr>
                <w:rFonts w:hAnsi="Verdana"/>
                <w:sz w:val="19"/>
                <w:szCs w:val="19"/>
                <w:lang w:val="en-US"/>
              </w:rPr>
              <w:t>John Bazty C. Cantay</w:t>
            </w:r>
          </w:p>
          <w:p>
            <w:pPr>
              <w:pStyle w:val="style0"/>
              <w:rPr>
                <w:rFonts w:ascii="Verdana" w:hAnsi="Verdana"/>
                <w:sz w:val="19"/>
                <w:szCs w:val="19"/>
              </w:rPr>
            </w:pPr>
            <w:r>
              <w:rPr>
                <w:rFonts w:hAnsi="Verdana"/>
                <w:sz w:val="19"/>
                <w:szCs w:val="19"/>
                <w:lang w:val="en-US"/>
              </w:rPr>
              <w:t>Keith Gaudi Gerard P. Juntilla</w:t>
            </w:r>
          </w:p>
          <w:p>
            <w:pPr>
              <w:pStyle w:val="style0"/>
              <w:rPr>
                <w:rFonts w:ascii="Verdana" w:hAnsi="Verdana"/>
                <w:sz w:val="19"/>
                <w:szCs w:val="19"/>
              </w:rPr>
            </w:pPr>
            <w:r>
              <w:rPr>
                <w:rFonts w:hAnsi="Verdana"/>
                <w:sz w:val="19"/>
                <w:szCs w:val="19"/>
                <w:lang w:val="en-US"/>
              </w:rPr>
              <w:t>Buentheo Nathaniel A. Noval</w:t>
            </w:r>
          </w:p>
          <w:p>
            <w:pPr>
              <w:pStyle w:val="style0"/>
              <w:rPr>
                <w:rFonts w:ascii="Verdana" w:hAnsi="Verdana"/>
                <w:sz w:val="19"/>
                <w:szCs w:val="19"/>
              </w:rPr>
            </w:pPr>
          </w:p>
        </w:tc>
        <w:tc>
          <w:tcPr>
            <w:tcW w:w="4682" w:type="dxa"/>
            <w:tcBorders/>
            <w:shd w:val="clear" w:color="auto" w:fill="auto"/>
          </w:tcPr>
          <w:p>
            <w:pPr>
              <w:pStyle w:val="style0"/>
              <w:rPr>
                <w:rFonts w:ascii="Verdana" w:hAnsi="Verdana"/>
                <w:sz w:val="19"/>
                <w:szCs w:val="19"/>
              </w:rPr>
            </w:pPr>
          </w:p>
          <w:p>
            <w:pPr>
              <w:pStyle w:val="style0"/>
              <w:rPr>
                <w:rFonts w:ascii="Verdana" w:hAnsi="Verdana"/>
                <w:sz w:val="19"/>
                <w:szCs w:val="19"/>
              </w:rPr>
            </w:pPr>
          </w:p>
          <w:p>
            <w:pPr>
              <w:pStyle w:val="style0"/>
              <w:rPr>
                <w:rFonts w:ascii="Verdana" w:hAnsi="Verdana"/>
                <w:sz w:val="19"/>
                <w:szCs w:val="19"/>
              </w:rPr>
            </w:pPr>
          </w:p>
        </w:tc>
      </w:tr>
      <w:tr>
        <w:tblPrEx/>
        <w:trPr>
          <w:trHeight w:val="1503" w:hRule="atLeast"/>
        </w:trPr>
        <w:tc>
          <w:tcPr>
            <w:tcW w:w="4673" w:type="dxa"/>
            <w:tcBorders/>
            <w:shd w:val="clear" w:color="auto" w:fill="auto"/>
          </w:tcPr>
          <w:p>
            <w:pPr>
              <w:pStyle w:val="style0"/>
              <w:rPr>
                <w:rFonts w:ascii="Verdana" w:hAnsi="Verdana"/>
                <w:b/>
                <w:bCs/>
                <w:sz w:val="19"/>
                <w:szCs w:val="19"/>
              </w:rPr>
            </w:pPr>
            <w:r>
              <w:rPr>
                <w:rFonts w:ascii="Verdana" w:hAnsi="Verdana"/>
                <w:b/>
                <w:bCs/>
                <w:sz w:val="19"/>
                <w:szCs w:val="19"/>
              </w:rPr>
              <w:t>Checked by:</w:t>
            </w:r>
          </w:p>
          <w:p>
            <w:pPr>
              <w:pStyle w:val="style0"/>
              <w:rPr>
                <w:rFonts w:ascii="Verdana" w:hAnsi="Verdana"/>
                <w:sz w:val="19"/>
                <w:szCs w:val="19"/>
              </w:rPr>
            </w:pPr>
          </w:p>
          <w:p>
            <w:pPr>
              <w:pStyle w:val="style0"/>
              <w:rPr>
                <w:rFonts w:ascii="Verdana" w:hAnsi="Verdana"/>
                <w:sz w:val="19"/>
                <w:szCs w:val="19"/>
              </w:rPr>
            </w:pPr>
          </w:p>
          <w:p>
            <w:pPr>
              <w:pStyle w:val="style0"/>
              <w:rPr>
                <w:rFonts w:ascii="Verdana" w:hAnsi="Verdana"/>
                <w:sz w:val="19"/>
                <w:szCs w:val="19"/>
              </w:rPr>
            </w:pPr>
            <w:r>
              <w:rPr>
                <w:rFonts w:hAnsi="Verdana"/>
                <w:sz w:val="19"/>
                <w:szCs w:val="19"/>
                <w:lang w:val="en-US"/>
              </w:rPr>
              <w:t>Ronafe C. Galapin</w:t>
            </w:r>
          </w:p>
          <w:p>
            <w:pPr>
              <w:pStyle w:val="style0"/>
              <w:rPr>
                <w:rFonts w:ascii="Verdana" w:hAnsi="Verdana"/>
                <w:sz w:val="19"/>
                <w:szCs w:val="19"/>
              </w:rPr>
            </w:pPr>
            <w:r>
              <w:rPr>
                <w:rFonts w:ascii="Verdana" w:hAnsi="Verdana"/>
                <w:sz w:val="19"/>
                <w:szCs w:val="19"/>
              </w:rPr>
              <w:t>Thesis/Capstone Project</w:t>
            </w:r>
            <w:r>
              <w:rPr>
                <w:rFonts w:ascii="Verdana" w:hAnsi="Verdana"/>
                <w:sz w:val="19"/>
                <w:szCs w:val="19"/>
              </w:rPr>
              <w:t xml:space="preserve"> Adviser</w:t>
            </w:r>
          </w:p>
          <w:p>
            <w:pPr>
              <w:pStyle w:val="style0"/>
              <w:rPr>
                <w:rFonts w:ascii="Verdana" w:hAnsi="Verdana"/>
                <w:sz w:val="19"/>
                <w:szCs w:val="19"/>
              </w:rPr>
            </w:pPr>
            <w:r>
              <w:rPr>
                <w:rFonts w:ascii="Verdana" w:hAnsi="Verdana"/>
                <w:sz w:val="19"/>
                <w:szCs w:val="19"/>
              </w:rPr>
              <w:t>Date Signed:</w:t>
            </w:r>
            <w:r>
              <w:rPr>
                <w:rFonts w:ascii="Verdana" w:cs="Times New Roman" w:eastAsia="Times New Roman" w:hAnsi="Verdana" w:hint="default"/>
                <w:b w:val="false"/>
                <w:bCs w:val="false"/>
                <w:i w:val="false"/>
                <w:iCs w:val="false"/>
                <w:color w:val="auto"/>
                <w:sz w:val="19"/>
                <w:szCs w:val="19"/>
                <w:highlight w:val="none"/>
                <w:vertAlign w:val="baseline"/>
                <w:em w:val="none"/>
                <w:lang w:val="en-US" w:eastAsia="ko-KR"/>
              </w:rPr>
              <w:t xml:space="preserve"> </w:t>
            </w:r>
            <w:r>
              <w:rPr>
                <w:rFonts w:ascii="Times New Roman" w:cs="Times New Roman" w:eastAsia="Times New Roman" w:hAnsi="Verdana" w:hint="default"/>
                <w:b w:val="false"/>
                <w:bCs w:val="false"/>
                <w:i w:val="false"/>
                <w:iCs w:val="false"/>
                <w:color w:val="auto"/>
                <w:sz w:val="19"/>
                <w:szCs w:val="19"/>
                <w:highlight w:val="none"/>
                <w:vertAlign w:val="baseline"/>
                <w:em w:val="none"/>
                <w:lang w:val="en-US" w:eastAsia="ko-KR"/>
              </w:rPr>
              <w:t>08/20/26</w:t>
            </w:r>
          </w:p>
        </w:tc>
        <w:tc>
          <w:tcPr>
            <w:tcW w:w="4682" w:type="dxa"/>
            <w:tcBorders/>
            <w:shd w:val="clear" w:color="auto" w:fill="auto"/>
          </w:tcPr>
          <w:p>
            <w:pPr>
              <w:pStyle w:val="style0"/>
              <w:rPr>
                <w:rFonts w:ascii="Verdana" w:hAnsi="Verdana"/>
                <w:b/>
                <w:sz w:val="19"/>
                <w:szCs w:val="19"/>
              </w:rPr>
            </w:pPr>
            <w:r>
              <w:rPr>
                <w:rFonts w:ascii="Verdana" w:hAnsi="Verdana"/>
                <w:b/>
                <w:sz w:val="19"/>
                <w:szCs w:val="19"/>
              </w:rPr>
              <w:t>Noted by:</w:t>
            </w:r>
          </w:p>
          <w:p>
            <w:pPr>
              <w:pStyle w:val="style0"/>
              <w:rPr>
                <w:rFonts w:ascii="Verdana" w:hAnsi="Verdana"/>
                <w:b/>
                <w:sz w:val="19"/>
                <w:szCs w:val="19"/>
              </w:rPr>
            </w:pPr>
          </w:p>
          <w:p>
            <w:pPr>
              <w:pStyle w:val="style0"/>
              <w:rPr>
                <w:rFonts w:ascii="Verdana" w:hAnsi="Verdana"/>
                <w:b/>
                <w:sz w:val="19"/>
                <w:szCs w:val="19"/>
              </w:rPr>
            </w:pPr>
          </w:p>
          <w:p>
            <w:pPr>
              <w:pStyle w:val="style0"/>
              <w:rPr>
                <w:rFonts w:ascii="Verdana" w:hAnsi="Verdana"/>
                <w:sz w:val="19"/>
                <w:szCs w:val="19"/>
              </w:rPr>
            </w:pPr>
            <w:r>
              <w:rPr>
                <w:rFonts w:hAnsi="Verdana"/>
                <w:sz w:val="19"/>
                <w:szCs w:val="19"/>
                <w:lang w:val="en-US"/>
              </w:rPr>
              <w:t>Rona Mira B. Lucañas</w:t>
            </w:r>
          </w:p>
          <w:p>
            <w:pPr>
              <w:pStyle w:val="style0"/>
              <w:rPr>
                <w:rFonts w:ascii="Verdana" w:hAnsi="Verdana"/>
                <w:b/>
                <w:sz w:val="19"/>
                <w:szCs w:val="19"/>
              </w:rPr>
            </w:pPr>
            <w:r>
              <w:rPr>
                <w:rFonts w:ascii="Verdana" w:hAnsi="Verdana"/>
                <w:sz w:val="19"/>
                <w:szCs w:val="19"/>
              </w:rPr>
              <w:t>Thesis/</w:t>
            </w:r>
            <w:r>
              <w:rPr>
                <w:rFonts w:ascii="Verdana" w:hAnsi="Verdana"/>
                <w:sz w:val="19"/>
                <w:szCs w:val="19"/>
              </w:rPr>
              <w:t xml:space="preserve">Capstone </w:t>
            </w:r>
            <w:r>
              <w:rPr>
                <w:rFonts w:ascii="Verdana" w:hAnsi="Verdana"/>
                <w:sz w:val="19"/>
                <w:szCs w:val="19"/>
              </w:rPr>
              <w:t>Project</w:t>
            </w:r>
            <w:r>
              <w:rPr>
                <w:rFonts w:ascii="Verdana" w:hAnsi="Verdana"/>
                <w:sz w:val="19"/>
                <w:szCs w:val="19"/>
              </w:rPr>
              <w:t xml:space="preserve"> </w:t>
            </w:r>
            <w:r>
              <w:rPr>
                <w:rFonts w:ascii="Verdana" w:hAnsi="Verdana"/>
                <w:sz w:val="19"/>
                <w:szCs w:val="19"/>
              </w:rPr>
              <w:t>Coordinator</w:t>
            </w:r>
          </w:p>
          <w:p>
            <w:pPr>
              <w:pStyle w:val="style0"/>
              <w:rPr>
                <w:rFonts w:ascii="Verdana" w:hAnsi="Verdana"/>
                <w:sz w:val="19"/>
                <w:szCs w:val="19"/>
              </w:rPr>
            </w:pPr>
            <w:r>
              <w:rPr>
                <w:rFonts w:ascii="Verdana" w:hAnsi="Verdana"/>
                <w:sz w:val="19"/>
                <w:szCs w:val="19"/>
              </w:rPr>
              <w:t xml:space="preserve">Date Signed: </w:t>
            </w:r>
            <w:r>
              <w:rPr>
                <w:rFonts w:hAnsi="Verdana"/>
                <w:sz w:val="19"/>
                <w:szCs w:val="19"/>
                <w:lang w:val="en-US"/>
              </w:rPr>
              <w:t>08/20/26</w:t>
            </w:r>
          </w:p>
        </w:tc>
      </w:tr>
    </w:tbl>
    <w:p>
      <w:pPr>
        <w:pStyle w:val="style0"/>
        <w:rPr>
          <w:rFonts w:ascii="Verdana" w:hAnsi="Verdana"/>
          <w:sz w:val="4"/>
          <w:szCs w:val="4"/>
        </w:rPr>
      </w:pPr>
    </w:p>
    <w:sectPr>
      <w:footerReference w:type="default" ns1:id="rId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Verdana">
    <w:altName w:val="Verdana"/>
    <w:panose1 w:val="020b0604030005040204"/>
    <w:charset w:val="00"/>
    <w:family w:val="swiss"/>
    <w:pitch w:val="variable"/>
    <w:sig w:usb0="A00006FF" w:usb1="4000205B" w:usb2="00000010" w:usb3="00000000" w:csb0="0000019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sz w:val="15"/>
        <w:szCs w:val="15"/>
      </w:rPr>
    </w:pPr>
    <w:r>
      <w:rPr>
        <w:rFonts w:ascii="Calibri" w:hAnsi="Calibr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Pr>
        <w:sz w:val="16"/>
      </w:rPr>
      <w:t>.</w:t>
    </w:r>
  </w:p>
  <w:p>
    <w:pPr>
      <w:pStyle w:val="style32"/>
      <w:jc w:val="center"/>
      <w:rPr>
        <w:color w:val="3333ff"/>
        <w:szCs w:val="16"/>
      </w:rPr>
    </w:pPr>
    <w:r>
      <w:rPr>
        <w:color w:val="3333ff"/>
        <w:szCs w:val="16"/>
      </w:rPr>
      <w:t>▪ ▪ ▪</w:t>
    </w:r>
  </w:p>
  <w:p>
    <w:pPr>
      <w:pStyle w:val="style32"/>
      <w:tabs>
        <w:tab w:val="clear" w:pos="9360"/>
      </w:tabs>
      <w:jc w:val="center"/>
      <w:rPr>
        <w:rFonts w:ascii="Calibri" w:hAnsi="Calibri"/>
        <w:b/>
        <w:bCs/>
        <w:noProof/>
        <w:sz w:val="16"/>
        <w:szCs w:val="16"/>
      </w:rPr>
    </w:pPr>
    <w:r>
      <w:rPr>
        <w:rFonts w:ascii="Calibri" w:hAnsi="Calibri"/>
        <w:b/>
        <w:bCs/>
        <w:noProof/>
        <w:sz w:val="16"/>
        <w:szCs w:val="16"/>
      </w:rPr>
      <w:t>ACCOMPLISHMENT AND CONSULTATION FORM |</w:t>
    </w:r>
    <w:r>
      <w:rPr>
        <w:rFonts w:ascii="Calibri" w:hAnsi="Calibri"/>
        <w:b/>
        <w:bCs/>
        <w:noProof/>
        <w:sz w:val="16"/>
        <w:szCs w:val="16"/>
      </w:rPr>
      <w:t xml:space="preserve"> FT-CRD-187-00</w:t>
    </w:r>
    <w:r>
      <w:rPr>
        <w:rFonts w:ascii="Calibri" w:hAnsi="Calibri"/>
        <w:b/>
        <w:bCs/>
        <w:noProof/>
        <w:sz w:val="16"/>
        <w:szCs w:val="16"/>
      </w:rPr>
      <w:t xml:space="preserve"> |</w:t>
    </w:r>
    <w:r>
      <w:rPr>
        <w:rFonts w:ascii="Calibri" w:hAnsi="Calibri"/>
        <w:sz w:val="16"/>
        <w:szCs w:val="16"/>
      </w:rPr>
      <w:t xml:space="preserve"> PAGE</w:t>
    </w:r>
    <w:r>
      <w:rPr>
        <w:rFonts w:ascii="Calibri" w:hAnsi="Calibri"/>
        <w:color w:val="3333ff"/>
        <w:sz w:val="16"/>
        <w:szCs w:val="16"/>
      </w:rPr>
      <w:t xml:space="preserve"> </w:t>
    </w:r>
    <w:r>
      <w:rPr>
        <w:rFonts w:ascii="Calibri" w:hAnsi="Calibri"/>
        <w:b/>
        <w:bCs/>
        <w:noProof/>
        <w:sz w:val="16"/>
        <w:szCs w:val="16"/>
      </w:rPr>
      <w:fldChar w:fldCharType="begin"/>
    </w:r>
    <w:r>
      <w:rPr>
        <w:rFonts w:ascii="Calibri" w:hAnsi="Calibri"/>
        <w:b/>
        <w:bCs/>
        <w:noProof/>
        <w:sz w:val="16"/>
        <w:szCs w:val="16"/>
      </w:rPr>
      <w:instrText xml:space="preserve"> Page </w:instrText>
    </w:r>
    <w:r>
      <w:rPr>
        <w:rFonts w:ascii="Calibri" w:hAnsi="Calibri"/>
        <w:b/>
        <w:bCs/>
        <w:noProof/>
        <w:sz w:val="16"/>
        <w:szCs w:val="16"/>
      </w:rPr>
      <w:fldChar w:fldCharType="separate"/>
    </w:r>
    <w:r>
      <w:rPr>
        <w:b/>
        <w:bCs/>
        <w:noProof/>
        <w:sz w:val="16"/>
        <w:szCs w:val="16"/>
      </w:rPr>
      <w:t>1</w:t>
    </w:r>
    <w:r>
      <w:rPr>
        <w:rFonts w:ascii="Calibri" w:hAnsi="Calibri"/>
        <w:b/>
        <w:bCs/>
        <w:noProof/>
        <w:sz w:val="16"/>
        <w:szCs w:val="16"/>
      </w:rPr>
      <w:fldChar w:fldCharType="end"/>
    </w:r>
    <w:r>
      <w:rPr>
        <w:rFonts w:ascii="Calibri" w:hAnsi="Calibri"/>
        <w:b/>
        <w:bCs/>
        <w:noProof/>
        <w:sz w:val="16"/>
        <w:szCs w:val="16"/>
      </w:rPr>
      <w:t xml:space="preserve"> OF </w:t>
    </w:r>
    <w:r>
      <w:rPr>
        <w:rFonts w:ascii="Calibri" w:hAnsi="Calibri"/>
        <w:b/>
        <w:bCs/>
        <w:noProof/>
        <w:sz w:val="16"/>
        <w:szCs w:val="16"/>
      </w:rPr>
      <w:fldChar w:fldCharType="begin"/>
    </w:r>
    <w:r>
      <w:rPr>
        <w:rFonts w:ascii="Calibri" w:hAnsi="Calibri"/>
        <w:b/>
        <w:bCs/>
        <w:noProof/>
        <w:sz w:val="16"/>
        <w:szCs w:val="16"/>
      </w:rPr>
      <w:instrText xml:space="preserve"> NumPages </w:instrText>
    </w:r>
    <w:r>
      <w:rPr>
        <w:rFonts w:ascii="Calibri" w:hAnsi="Calibri"/>
        <w:b/>
        <w:bCs/>
        <w:noProof/>
        <w:sz w:val="16"/>
        <w:szCs w:val="16"/>
      </w:rPr>
      <w:fldChar w:fldCharType="separate"/>
    </w:r>
    <w:r>
      <w:rPr>
        <w:b/>
        <w:bCs/>
        <w:noProof/>
        <w:sz w:val="16"/>
        <w:szCs w:val="16"/>
      </w:rPr>
      <w:t>3</w:t>
    </w:r>
    <w:r>
      <w:rPr>
        <w:rFonts w:ascii="Calibri" w:hAnsi="Calibri"/>
        <w:b/>
        <w:bCs/>
        <w:noProof/>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0"/>
      <w:lang w:eastAsia="ko-K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link w:val="style4097"/>
    <w:uiPriority w:val="99"/>
    <w:pPr>
      <w:tabs>
        <w:tab w:val="center" w:leader="none" w:pos="4680"/>
        <w:tab w:val="right" w:leader="none" w:pos="9360"/>
      </w:tabs>
    </w:pPr>
    <w:rPr/>
  </w:style>
  <w:style w:type="character" w:customStyle="1" w:styleId="style4097">
    <w:name w:val="Header Char_ba73bb9e-2d47-46f5-ad6e-7056b5eec74f"/>
    <w:basedOn w:val="style65"/>
    <w:next w:val="style4097"/>
    <w:link w:val="style31"/>
    <w:uiPriority w:val="99"/>
    <w:rPr>
      <w:rFonts w:ascii="Times New Roman" w:cs="Times New Roman" w:eastAsia="Times New Roman" w:hAnsi="Times New Roman"/>
      <w:sz w:val="24"/>
      <w:szCs w:val="20"/>
      <w:lang w:eastAsia="ko-KR"/>
    </w:rPr>
  </w:style>
  <w:style w:type="paragraph" w:styleId="style32">
    <w:name w:val="footer"/>
    <w:basedOn w:val="style0"/>
    <w:next w:val="style32"/>
    <w:link w:val="style4098"/>
    <w:uiPriority w:val="99"/>
    <w:pPr>
      <w:tabs>
        <w:tab w:val="center" w:leader="none" w:pos="4680"/>
        <w:tab w:val="right" w:leader="none" w:pos="9360"/>
      </w:tabs>
    </w:pPr>
    <w:rPr/>
  </w:style>
  <w:style w:type="character" w:customStyle="1" w:styleId="style4098">
    <w:name w:val="Footer Char_47430dec-db84-4f63-8c44-66402dd211db"/>
    <w:basedOn w:val="style65"/>
    <w:next w:val="style4098"/>
    <w:link w:val="style32"/>
    <w:uiPriority w:val="99"/>
    <w:rPr>
      <w:rFonts w:ascii="Times New Roman" w:cs="Times New Roman" w:eastAsia="Times New Roman" w:hAnsi="Times New Roman"/>
      <w:sz w:val="24"/>
      <w:szCs w:val="20"/>
      <w:lang w:eastAsia="ko-K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Thesis Phase 1 Accomplishment and Consultation Form</Template>
  <TotalTime>169</TotalTime>
  <Words>171</Words>
  <Pages>1</Pages>
  <Characters>1070</Characters>
  <Application>WPS Office</Application>
  <DocSecurity>0</DocSecurity>
  <Paragraphs>42</Paragraphs>
  <ScaleCrop>false</ScaleCrop>
  <LinksUpToDate>false</LinksUpToDate>
  <CharactersWithSpaces>1223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2020-06-04T06:37:00Z</dcterms:created>
  <dc:creator>Dulce Amor Lumelay</dc:creator>
  <lastModifiedBy>2201116SG</lastModifiedBy>
  <dcterms:modified xsi:type="dcterms:W3CDTF">2026-08-20T06:54:47Z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877bf123ce3d40d1b4c5fdaa7407f4f4</vt:lpwstr>
  </property>
</Properties>
</file>